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48C1F0C8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1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Shtyhet </w:t>
      </w:r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 </w:t>
      </w:r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 Holandë</w:t>
      </w:r>
    </w:p>
    <w:p w14:paraId="1C6181B0" w14:textId="405C68C7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Në kuadër të programit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dhe 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 KA1 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46114D">
        <w:rPr>
          <w:rFonts w:ascii="Times New Roman" w:eastAsia="Times New Roman" w:hAnsi="Times New Roman" w:cs="Times New Roman"/>
          <w:sz w:val="24"/>
          <w:szCs w:val="24"/>
        </w:rPr>
        <w:t>shtyrë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thirrja për aplikime për bursa për 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Universitetit 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Politeknik 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>të Tiranës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 e mobilitetit përfshijnë: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Shkëmbimin e studentëve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nivelit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për studime</w:t>
      </w:r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 e mobilitetit për studentët: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tudentët duhet të jenë të regjistruar në një program studimi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Universitetin Politeknik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Tiranës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te kenë përfunduar vitin e parë akademik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 e bursave:</w:t>
      </w:r>
    </w:p>
    <w:p w14:paraId="545F5520" w14:textId="1AF7078D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(semestri i 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vitit akademik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 e studimit: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  <w:t>Fakulteti i 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 dhe 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 i dytë dhe i tretë i studimit</w:t>
      </w:r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Informacionit</w:t>
      </w:r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IT/Cyber/Media, to the programmes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Numri total </w:t>
      </w:r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studentëve: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Dokumentat e nevojshme për aplikim për studentët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Vërtetim studenti;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Listë notash </w:t>
      </w:r>
      <w:r>
        <w:rPr>
          <w:rFonts w:ascii="Times New Roman" w:eastAsia="Times New Roman" w:hAnsi="Times New Roman" w:cs="Times New Roman"/>
          <w:sz w:val="24"/>
          <w:szCs w:val="24"/>
        </w:rPr>
        <w:t>e studimeve deri në momentin e aplikimit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Letër Motivimi (në gjuhën angleze);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 e gjuhës së huaj*;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Dokumenti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 kurset e studimit në gjuhën angleze ku niveli minimal i kërkuar për të dyja gjuhët është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tudenti duhet të plotësojë nivelin minimal të kërkuar 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vërtetuar me 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 përkatëse të gjuhës së huaj.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 të njihet në Universitetin 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kur ju të keni përfunduar periudhën e shkëmbimit.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duhet të përzgjidhni të kryeni në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 të njëjta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ose ekuivalente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Dokumenti ‘‘Learning Agreement’’ te seksioni ‘‘Commitment’’ firmoset nga aplikanti, nga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oordinatori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kademik i 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 dhe nga Zv/Rektori i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-së për Anën Shkencore dhe Marrëdhëniet me Jashtë.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r w:rsidRPr="008F04A9">
        <w:rPr>
          <w:sz w:val="20"/>
          <w:szCs w:val="20"/>
        </w:rPr>
        <w:t xml:space="preserve">Për të shkarkuar formatin e “Learning Agreement” klikoni te: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r w:rsidR="00017E20" w:rsidRPr="008F04A9">
          <w:rPr>
            <w:rStyle w:val="Hyperlink"/>
            <w:sz w:val="20"/>
            <w:szCs w:val="20"/>
          </w:rPr>
          <w:t>Drejtoria e Komunikimit dhe Koordinimit – Universiteti Politeknik i Tiranës (upt.edu.al)</w:t>
        </w:r>
      </w:hyperlink>
      <w:r w:rsidR="00017E20" w:rsidRPr="008F04A9">
        <w:rPr>
          <w:sz w:val="20"/>
          <w:szCs w:val="20"/>
        </w:rPr>
        <w:t xml:space="preserve"> , aneks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 t’u njohur me lëndët që ofrohen në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 niveleve dhe fushave 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studimit, klikoni 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00000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>Course overview | Saxion</w:t>
        </w:r>
      </w:hyperlink>
    </w:p>
    <w:p w14:paraId="66AC876A" w14:textId="6AD55610" w:rsidR="00F85920" w:rsidRDefault="00000000" w:rsidP="00137790">
      <w:pPr>
        <w:spacing w:after="0" w:line="240" w:lineRule="auto"/>
        <w:jc w:val="both"/>
      </w:pPr>
      <w:hyperlink r:id="rId9" w:tgtFrame="_blank" w:history="1"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1402A6C7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 për aplikim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më </w:t>
      </w:r>
      <w:r w:rsidR="00F859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0530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prill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ora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plikimi </w:t>
      </w:r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 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89">
        <w:rPr>
          <w:rFonts w:ascii="Times New Roman" w:eastAsia="Times New Roman" w:hAnsi="Times New Roman" w:cs="Times New Roman"/>
          <w:sz w:val="24"/>
          <w:szCs w:val="24"/>
        </w:rPr>
        <w:t>Drejtorisë së Komunikimit dhe Koordinimit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informacione 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lidhje me procesin e aplikimit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 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kontaktoni 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D813C0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595E" w14:textId="77777777" w:rsidR="00D813C0" w:rsidRDefault="00D813C0" w:rsidP="0070301F">
      <w:pPr>
        <w:spacing w:after="0" w:line="240" w:lineRule="auto"/>
      </w:pPr>
      <w:r>
        <w:separator/>
      </w:r>
    </w:p>
  </w:endnote>
  <w:endnote w:type="continuationSeparator" w:id="0">
    <w:p w14:paraId="0DD542DF" w14:textId="77777777" w:rsidR="00D813C0" w:rsidRDefault="00D813C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AC71" w14:textId="77777777" w:rsidR="00D813C0" w:rsidRDefault="00D813C0" w:rsidP="0070301F">
      <w:pPr>
        <w:spacing w:after="0" w:line="240" w:lineRule="auto"/>
      </w:pPr>
      <w:r>
        <w:separator/>
      </w:r>
    </w:p>
  </w:footnote>
  <w:footnote w:type="continuationSeparator" w:id="0">
    <w:p w14:paraId="267A98B5" w14:textId="77777777" w:rsidR="00D813C0" w:rsidRDefault="00D813C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53092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6114D"/>
    <w:rsid w:val="00473E4B"/>
    <w:rsid w:val="004763E4"/>
    <w:rsid w:val="00484873"/>
    <w:rsid w:val="004900FF"/>
    <w:rsid w:val="004B5A20"/>
    <w:rsid w:val="004F0271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813C0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36</cp:revision>
  <cp:lastPrinted>2023-10-10T09:03:00Z</cp:lastPrinted>
  <dcterms:created xsi:type="dcterms:W3CDTF">2020-11-10T11:18:00Z</dcterms:created>
  <dcterms:modified xsi:type="dcterms:W3CDTF">2024-04-03T07:28:00Z</dcterms:modified>
</cp:coreProperties>
</file>