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6D64EBF4" w:rsidR="00393789" w:rsidRPr="00C2157B" w:rsidRDefault="00393789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2157B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420A2DE0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 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</w:rPr>
        <w:t>hapur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Polytech Orléans,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studime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PhD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shkencor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>.</w:t>
      </w:r>
    </w:p>
    <w:p w14:paraId="4E6AD9ED" w14:textId="5016C4C9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Elektrike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Informacionit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Gjeologjis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Minierave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Matematike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Fizike</w:t>
      </w:r>
      <w:proofErr w:type="spellEnd"/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58CDD0A2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PhD, </w:t>
      </w:r>
      <w:proofErr w:type="spellStart"/>
      <w:r w:rsidR="00861E0C" w:rsidRPr="00387754">
        <w:rPr>
          <w:rFonts w:ascii="Times New Roman" w:hAnsi="Times New Roman" w:cs="Times New Roman"/>
        </w:rPr>
        <w:t>minimumi</w:t>
      </w:r>
      <w:proofErr w:type="spellEnd"/>
      <w:r w:rsidR="00861E0C" w:rsidRPr="00387754">
        <w:rPr>
          <w:rFonts w:ascii="Times New Roman" w:hAnsi="Times New Roman" w:cs="Times New Roman"/>
        </w:rPr>
        <w:t xml:space="preserve"> 3</w:t>
      </w:r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muaj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gjatë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vitit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2024</w:t>
      </w:r>
      <w:r w:rsidRPr="00387754">
        <w:rPr>
          <w:rFonts w:ascii="Times New Roman" w:eastAsia="Times New Roman" w:hAnsi="Times New Roman" w:cs="Times New Roman"/>
        </w:rPr>
        <w:t xml:space="preserve"> – 2025</w:t>
      </w:r>
    </w:p>
    <w:p w14:paraId="545F5520" w14:textId="540043FA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master: 1 </w:t>
      </w:r>
      <w:proofErr w:type="spellStart"/>
      <w:r w:rsidRPr="00387754">
        <w:rPr>
          <w:rFonts w:ascii="Times New Roman" w:eastAsia="Times New Roman" w:hAnsi="Times New Roman" w:cs="Times New Roman"/>
        </w:rPr>
        <w:t>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semestri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</w:rPr>
        <w:t>dyt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vitit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akademik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2024 - 2025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E68261B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master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631A2B1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dhe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ose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franceze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>)</w:t>
      </w:r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/Rektori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C2157B">
        <w:rPr>
          <w:rFonts w:ascii="Times New Roman" w:hAnsi="Times New Roman" w:cs="Times New Roman"/>
        </w:rPr>
        <w:t xml:space="preserve"> , </w:t>
      </w:r>
      <w:proofErr w:type="spellStart"/>
      <w:r w:rsidR="00017E20" w:rsidRPr="00C2157B">
        <w:rPr>
          <w:rFonts w:ascii="Times New Roman" w:hAnsi="Times New Roman" w:cs="Times New Roman"/>
        </w:rPr>
        <w:t>aneks</w:t>
      </w:r>
      <w:proofErr w:type="spellEnd"/>
      <w:r w:rsidR="00017E20" w:rsidRPr="00C2157B">
        <w:rPr>
          <w:rFonts w:ascii="Times New Roman" w:hAnsi="Times New Roman" w:cs="Times New Roman"/>
        </w:rPr>
        <w:t xml:space="preserve"> 2.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29203F2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njohur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programet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lëndëve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ofron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>
        <w:rPr>
          <w:rStyle w:val="Strong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ju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lutemi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klikoni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te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>:</w:t>
      </w:r>
    </w:p>
    <w:p w14:paraId="3DCFF6F1" w14:textId="7777777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009A28B5" w14:textId="09166182" w:rsidR="00F107B5" w:rsidRDefault="00F107B5" w:rsidP="00017E20">
      <w:pPr>
        <w:pStyle w:val="NoSpacing"/>
      </w:pPr>
      <w:hyperlink r:id="rId8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The 7 engineering sp</w:t>
        </w:r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e</w:t>
        </w:r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cialties of Polytech Orléans | Orleans University (univ-orleans.fr)</w:t>
        </w:r>
      </w:hyperlink>
    </w:p>
    <w:p w14:paraId="78F994E5" w14:textId="77777777" w:rsidR="004B70E7" w:rsidRDefault="004B70E7" w:rsidP="00017E20">
      <w:pPr>
        <w:pStyle w:val="NoSpacing"/>
      </w:pPr>
    </w:p>
    <w:p w14:paraId="7510429B" w14:textId="00364D9A" w:rsidR="004B70E7" w:rsidRDefault="004B70E7" w:rsidP="00017E20">
      <w:pPr>
        <w:pStyle w:val="NoSpacing"/>
      </w:pPr>
      <w:hyperlink r:id="rId9" w:history="1">
        <w:r>
          <w:rPr>
            <w:rStyle w:val="Hyperlink"/>
          </w:rPr>
          <w:t>course offer in English 2024-25.pdf (univ-orleans.fr)</w:t>
        </w:r>
      </w:hyperlink>
    </w:p>
    <w:p w14:paraId="2C40AD5E" w14:textId="77777777" w:rsidR="004B70E7" w:rsidRDefault="004B70E7" w:rsidP="00017E20">
      <w:pPr>
        <w:pStyle w:val="NoSpacing"/>
      </w:pPr>
    </w:p>
    <w:p w14:paraId="7F48C984" w14:textId="77777777" w:rsidR="004B70E7" w:rsidRDefault="004B70E7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3AA75CA4" w:rsidR="00F107B5" w:rsidRDefault="00F107B5" w:rsidP="00017E20">
      <w:pPr>
        <w:pStyle w:val="NoSpacing"/>
      </w:pP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Hyperlink"/>
          </w:rPr>
          <w:t>Master in Automotive Engineering for Sustainable Mobility | University of Orléans (univ-orleans.fr)</w:t>
        </w:r>
      </w:hyperlink>
    </w:p>
    <w:p w14:paraId="2100CB57" w14:textId="77777777" w:rsidR="00F107B5" w:rsidRPr="00C2157B" w:rsidRDefault="00F107B5" w:rsidP="00017E20">
      <w:pPr>
        <w:pStyle w:val="NoSpacing"/>
        <w:rPr>
          <w:rFonts w:ascii="Times New Roman" w:hAnsi="Times New Roman" w:cs="Times New Roman"/>
        </w:rPr>
      </w:pPr>
    </w:p>
    <w:p w14:paraId="4CEBC345" w14:textId="2019AD74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87754">
        <w:rPr>
          <w:rFonts w:ascii="Times New Roman" w:eastAsia="Times New Roman" w:hAnsi="Times New Roman" w:cs="Times New Roman"/>
        </w:rPr>
        <w:t>Pasaportës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Vërtetim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doktorature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Letër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Motivimi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87754">
        <w:rPr>
          <w:rFonts w:ascii="Times New Roman" w:eastAsia="Times New Roman" w:hAnsi="Times New Roman" w:cs="Times New Roman"/>
        </w:rPr>
        <w:t>në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gjuhën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angleze</w:t>
      </w:r>
      <w:proofErr w:type="spellEnd"/>
      <w:r w:rsidRPr="00387754">
        <w:rPr>
          <w:rFonts w:ascii="Times New Roman" w:eastAsia="Times New Roman" w:hAnsi="Times New Roman" w:cs="Times New Roman"/>
        </w:rPr>
        <w:t>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Çertifikatë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87754">
        <w:rPr>
          <w:rFonts w:ascii="Times New Roman" w:eastAsia="Times New Roman" w:hAnsi="Times New Roman" w:cs="Times New Roman"/>
        </w:rPr>
        <w:t>gjuhës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huaj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 xml:space="preserve">- Plani </w:t>
      </w:r>
      <w:proofErr w:type="spellStart"/>
      <w:r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shkencor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funksion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aktivitetit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Ftesa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nga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universiteti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sipas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profilit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shkencor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aplikantit</w:t>
      </w:r>
      <w:proofErr w:type="spellEnd"/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Fonts w:ascii="Times New Roman" w:hAnsi="Times New Roman" w:cs="Times New Roman"/>
        </w:rPr>
        <w:t>Aprovim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bazë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kryesore</w:t>
      </w:r>
      <w:proofErr w:type="spellEnd"/>
      <w:r w:rsidRPr="00387754">
        <w:rPr>
          <w:rFonts w:ascii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hAnsi="Times New Roman" w:cs="Times New Roman"/>
        </w:rPr>
        <w:t>ku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aplikanti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bën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pjesë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lidhje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planin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kërkimit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shkencor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periudhën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parashikuara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t’u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universitetin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2"/>
        </w:rPr>
        <w:t>pritës</w:t>
      </w:r>
      <w:proofErr w:type="spellEnd"/>
      <w:r w:rsidRPr="00387754">
        <w:rPr>
          <w:rFonts w:ascii="Times New Roman" w:hAnsi="Times New Roman" w:cs="Times New Roman"/>
          <w:spacing w:val="-2"/>
        </w:rPr>
        <w:t>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1C4E4083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54BDA">
        <w:rPr>
          <w:rFonts w:ascii="Times New Roman" w:eastAsia="Times New Roman" w:hAnsi="Times New Roman" w:cs="Times New Roman"/>
          <w:b/>
          <w:bCs/>
          <w:iCs/>
        </w:rPr>
        <w:t>20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954BDA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2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0AA9" w14:textId="77777777" w:rsidR="00370EFC" w:rsidRDefault="00370EFC" w:rsidP="0070301F">
      <w:pPr>
        <w:spacing w:after="0" w:line="240" w:lineRule="auto"/>
      </w:pPr>
      <w:r>
        <w:separator/>
      </w:r>
    </w:p>
  </w:endnote>
  <w:endnote w:type="continuationSeparator" w:id="0">
    <w:p w14:paraId="09494E0E" w14:textId="77777777" w:rsidR="00370EFC" w:rsidRDefault="00370EF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E30B" w14:textId="77777777" w:rsidR="00370EFC" w:rsidRDefault="00370EFC" w:rsidP="0070301F">
      <w:pPr>
        <w:spacing w:after="0" w:line="240" w:lineRule="auto"/>
      </w:pPr>
      <w:r>
        <w:separator/>
      </w:r>
    </w:p>
  </w:footnote>
  <w:footnote w:type="continuationSeparator" w:id="0">
    <w:p w14:paraId="794D2DF1" w14:textId="77777777" w:rsidR="00370EFC" w:rsidRDefault="00370EF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6"/>
  </w:num>
  <w:num w:numId="3" w16cid:durableId="418257637">
    <w:abstractNumId w:val="1"/>
  </w:num>
  <w:num w:numId="4" w16cid:durableId="545023010">
    <w:abstractNumId w:val="17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8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600838602">
    <w:abstractNumId w:val="15"/>
  </w:num>
  <w:num w:numId="19" w16cid:durableId="1225145536">
    <w:abstractNumId w:val="10"/>
  </w:num>
  <w:num w:numId="20" w16cid:durableId="32856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EFC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70E7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54BDA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07B5"/>
    <w:rsid w:val="00F17063"/>
    <w:rsid w:val="00F700B6"/>
    <w:rsid w:val="00F767B2"/>
    <w:rsid w:val="00F85920"/>
    <w:rsid w:val="00F942F4"/>
    <w:rsid w:val="00FB668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en/polytech/departments/7-engineering-specialties-polytech-orlea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-orleans.fr/fr/node/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orleans.fr/upload/public/2024-04/course%20offer%20in%20English%202024-2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44</cp:revision>
  <cp:lastPrinted>2023-10-10T09:03:00Z</cp:lastPrinted>
  <dcterms:created xsi:type="dcterms:W3CDTF">2020-11-10T11:18:00Z</dcterms:created>
  <dcterms:modified xsi:type="dcterms:W3CDTF">2024-07-05T10:38:00Z</dcterms:modified>
</cp:coreProperties>
</file>