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6A96C" w14:textId="5A7CEEFC" w:rsidR="00393789" w:rsidRPr="009468C7" w:rsidRDefault="00393789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Hapet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14183" w:rsidRPr="009468C7">
        <w:rPr>
          <w:rFonts w:ascii="Times New Roman" w:eastAsia="Times New Roman" w:hAnsi="Times New Roman" w:cs="Times New Roman"/>
          <w:b/>
          <w:bCs/>
        </w:rPr>
        <w:t>t</w:t>
      </w:r>
      <w:r w:rsidR="006E01AD" w:rsidRPr="009468C7">
        <w:rPr>
          <w:rFonts w:ascii="Times New Roman" w:eastAsia="Times New Roman" w:hAnsi="Times New Roman" w:cs="Times New Roman"/>
          <w:b/>
          <w:bCs/>
        </w:rPr>
        <w:t>hirrja</w:t>
      </w:r>
      <w:proofErr w:type="spellEnd"/>
      <w:r w:rsidR="006E01AD"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E01AD" w:rsidRPr="009468C7">
        <w:rPr>
          <w:rFonts w:ascii="Times New Roman" w:eastAsia="Times New Roman" w:hAnsi="Times New Roman" w:cs="Times New Roman"/>
          <w:b/>
          <w:bCs/>
        </w:rPr>
        <w:t>për</w:t>
      </w:r>
      <w:proofErr w:type="spellEnd"/>
      <w:r w:rsidR="006E01AD"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m</w:t>
      </w:r>
      <w:r w:rsidR="0070301F" w:rsidRPr="009468C7">
        <w:rPr>
          <w:rFonts w:ascii="Times New Roman" w:eastAsia="Times New Roman" w:hAnsi="Times New Roman" w:cs="Times New Roman"/>
          <w:b/>
          <w:bCs/>
        </w:rPr>
        <w:t>obilitete</w:t>
      </w:r>
      <w:proofErr w:type="spellEnd"/>
      <w:r w:rsidR="0070301F" w:rsidRPr="009468C7">
        <w:rPr>
          <w:rFonts w:ascii="Times New Roman" w:eastAsia="Times New Roman" w:hAnsi="Times New Roman" w:cs="Times New Roman"/>
          <w:b/>
          <w:bCs/>
        </w:rPr>
        <w:t xml:space="preserve"> (</w:t>
      </w:r>
      <w:r w:rsidRPr="009468C7">
        <w:rPr>
          <w:rFonts w:ascii="Times New Roman" w:eastAsia="Times New Roman" w:hAnsi="Times New Roman" w:cs="Times New Roman"/>
          <w:b/>
          <w:bCs/>
        </w:rPr>
        <w:t>b</w:t>
      </w:r>
      <w:r w:rsidR="0070301F" w:rsidRPr="009468C7">
        <w:rPr>
          <w:rFonts w:ascii="Times New Roman" w:eastAsia="Times New Roman" w:hAnsi="Times New Roman" w:cs="Times New Roman"/>
          <w:b/>
          <w:bCs/>
        </w:rPr>
        <w:t xml:space="preserve">ursa)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s</w:t>
      </w:r>
      <w:r w:rsidR="0070301F" w:rsidRPr="009468C7">
        <w:rPr>
          <w:rFonts w:ascii="Times New Roman" w:eastAsia="Times New Roman" w:hAnsi="Times New Roman" w:cs="Times New Roman"/>
          <w:b/>
          <w:bCs/>
        </w:rPr>
        <w:t>tudent</w:t>
      </w:r>
      <w:r w:rsidR="00C54E5A" w:rsidRPr="009468C7">
        <w:rPr>
          <w:rFonts w:ascii="Times New Roman" w:eastAsia="Times New Roman" w:hAnsi="Times New Roman" w:cs="Times New Roman"/>
          <w:b/>
          <w:bCs/>
        </w:rPr>
        <w:t>ë</w:t>
      </w:r>
      <w:r w:rsidR="0070301F" w:rsidRPr="009468C7">
        <w:rPr>
          <w:rFonts w:ascii="Times New Roman" w:eastAsia="Times New Roman" w:hAnsi="Times New Roman" w:cs="Times New Roman"/>
          <w:b/>
          <w:bCs/>
        </w:rPr>
        <w:t>sh</w:t>
      </w:r>
      <w:proofErr w:type="spellEnd"/>
      <w:r w:rsidR="0070301F"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0C3CEA" w:rsidRPr="009468C7">
        <w:rPr>
          <w:rFonts w:ascii="Times New Roman" w:eastAsia="Times New Roman" w:hAnsi="Times New Roman" w:cs="Times New Roman"/>
          <w:b/>
          <w:bCs/>
        </w:rPr>
        <w:t>të</w:t>
      </w:r>
      <w:proofErr w:type="spellEnd"/>
      <w:r w:rsidR="000C3CEA"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70301F" w:rsidRPr="009468C7">
        <w:rPr>
          <w:rFonts w:ascii="Times New Roman" w:eastAsia="Times New Roman" w:hAnsi="Times New Roman" w:cs="Times New Roman"/>
          <w:b/>
          <w:bCs/>
        </w:rPr>
        <w:t>UPT-s</w:t>
      </w:r>
      <w:r w:rsidR="00C54E5A" w:rsidRPr="009468C7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>,</w:t>
      </w:r>
    </w:p>
    <w:p w14:paraId="1437B130" w14:textId="7C43B793" w:rsidR="00393789" w:rsidRPr="009468C7" w:rsidRDefault="0070301F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proofErr w:type="gramStart"/>
      <w:r w:rsidRPr="009468C7">
        <w:rPr>
          <w:rFonts w:ascii="Times New Roman" w:eastAsia="Times New Roman" w:hAnsi="Times New Roman" w:cs="Times New Roman"/>
          <w:b/>
          <w:bCs/>
        </w:rPr>
        <w:t>n</w:t>
      </w:r>
      <w:r w:rsidR="00C54E5A" w:rsidRPr="009468C7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proofErr w:type="gram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kuad</w:t>
      </w:r>
      <w:r w:rsidR="00C54E5A" w:rsidRPr="009468C7">
        <w:rPr>
          <w:rFonts w:ascii="Times New Roman" w:eastAsia="Times New Roman" w:hAnsi="Times New Roman" w:cs="Times New Roman"/>
          <w:b/>
          <w:bCs/>
        </w:rPr>
        <w:t>ë</w:t>
      </w:r>
      <w:r w:rsidRPr="009468C7">
        <w:rPr>
          <w:rFonts w:ascii="Times New Roman" w:eastAsia="Times New Roman" w:hAnsi="Times New Roman" w:cs="Times New Roman"/>
          <w:b/>
          <w:bCs/>
        </w:rPr>
        <w:t>r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t</w:t>
      </w:r>
      <w:r w:rsidR="00C54E5A" w:rsidRPr="009468C7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Marr</w:t>
      </w:r>
      <w:r w:rsidR="00C54E5A" w:rsidRPr="009468C7">
        <w:rPr>
          <w:rFonts w:ascii="Times New Roman" w:eastAsia="Times New Roman" w:hAnsi="Times New Roman" w:cs="Times New Roman"/>
          <w:b/>
          <w:bCs/>
        </w:rPr>
        <w:t>ë</w:t>
      </w:r>
      <w:r w:rsidR="00211D11" w:rsidRPr="009468C7">
        <w:rPr>
          <w:rFonts w:ascii="Times New Roman" w:eastAsia="Times New Roman" w:hAnsi="Times New Roman" w:cs="Times New Roman"/>
          <w:b/>
          <w:bCs/>
        </w:rPr>
        <w:t>veshjes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KA1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t</w:t>
      </w:r>
      <w:r w:rsidR="00C54E5A" w:rsidRPr="009468C7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Programit</w:t>
      </w:r>
      <w:proofErr w:type="spellEnd"/>
      <w:r w:rsidR="006E01AD" w:rsidRPr="009468C7">
        <w:rPr>
          <w:rFonts w:ascii="Times New Roman" w:eastAsia="Times New Roman" w:hAnsi="Times New Roman" w:cs="Times New Roman"/>
          <w:b/>
          <w:bCs/>
        </w:rPr>
        <w:t xml:space="preserve"> Erasmus+</w:t>
      </w:r>
      <w:r w:rsidR="00393789" w:rsidRPr="009468C7">
        <w:rPr>
          <w:rFonts w:ascii="Times New Roman" w:eastAsia="Times New Roman" w:hAnsi="Times New Roman" w:cs="Times New Roman"/>
          <w:b/>
          <w:bCs/>
        </w:rPr>
        <w:t>,</w:t>
      </w:r>
    </w:p>
    <w:p w14:paraId="563124C0" w14:textId="2A6D0827" w:rsidR="002B3A80" w:rsidRPr="009468C7" w:rsidRDefault="006E01AD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proofErr w:type="gramStart"/>
      <w:r w:rsidRPr="009468C7">
        <w:rPr>
          <w:rFonts w:ascii="Times New Roman" w:eastAsia="Times New Roman" w:hAnsi="Times New Roman" w:cs="Times New Roman"/>
          <w:b/>
          <w:bCs/>
        </w:rPr>
        <w:t>në</w:t>
      </w:r>
      <w:proofErr w:type="spellEnd"/>
      <w:proofErr w:type="gram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F2034" w:rsidRPr="009468C7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Mälardalen</w:t>
      </w:r>
      <w:proofErr w:type="spellEnd"/>
      <w:r w:rsidR="00AF2034" w:rsidRPr="009468C7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 xml:space="preserve"> University</w:t>
      </w:r>
      <w:r w:rsidR="00B55663" w:rsidRPr="009468C7">
        <w:rPr>
          <w:rFonts w:ascii="Times New Roman" w:eastAsia="Times New Roman" w:hAnsi="Times New Roman" w:cs="Times New Roman"/>
          <w:b/>
          <w:bCs/>
        </w:rPr>
        <w:t>,</w:t>
      </w:r>
      <w:r w:rsidR="00AF2034"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AF2034" w:rsidRPr="009468C7">
        <w:rPr>
          <w:rFonts w:ascii="Times New Roman" w:eastAsia="Times New Roman" w:hAnsi="Times New Roman" w:cs="Times New Roman"/>
          <w:b/>
          <w:bCs/>
        </w:rPr>
        <w:t>Suedi</w:t>
      </w:r>
      <w:proofErr w:type="spellEnd"/>
    </w:p>
    <w:p w14:paraId="76B4FD25" w14:textId="7DB1D0D2" w:rsidR="00F700B6" w:rsidRPr="009468C7" w:rsidRDefault="006E01AD" w:rsidP="00820D2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</w:rPr>
      </w:pP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kuadër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të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programit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Erasmus+</w:t>
      </w:r>
      <w:r w:rsidR="0070301F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9468C7">
        <w:rPr>
          <w:rFonts w:ascii="Times New Roman" w:eastAsia="Times New Roman" w:hAnsi="Times New Roman" w:cs="Times New Roman"/>
        </w:rPr>
        <w:t>dhe</w:t>
      </w:r>
      <w:proofErr w:type="spellEnd"/>
      <w:r w:rsidR="0070301F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9468C7">
        <w:rPr>
          <w:rFonts w:ascii="Times New Roman" w:eastAsia="Times New Roman" w:hAnsi="Times New Roman" w:cs="Times New Roman"/>
        </w:rPr>
        <w:t>marr</w:t>
      </w:r>
      <w:r w:rsidR="00C54E5A" w:rsidRPr="009468C7">
        <w:rPr>
          <w:rFonts w:ascii="Times New Roman" w:eastAsia="Times New Roman" w:hAnsi="Times New Roman" w:cs="Times New Roman"/>
        </w:rPr>
        <w:t>ë</w:t>
      </w:r>
      <w:r w:rsidR="00BC4E3C" w:rsidRPr="009468C7">
        <w:rPr>
          <w:rFonts w:ascii="Times New Roman" w:eastAsia="Times New Roman" w:hAnsi="Times New Roman" w:cs="Times New Roman"/>
        </w:rPr>
        <w:t>veshjes</w:t>
      </w:r>
      <w:proofErr w:type="spellEnd"/>
      <w:r w:rsidR="00BC4E3C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4E3C" w:rsidRPr="009468C7">
        <w:rPr>
          <w:rFonts w:ascii="Times New Roman" w:eastAsia="Times New Roman" w:hAnsi="Times New Roman" w:cs="Times New Roman"/>
        </w:rPr>
        <w:t>KA1</w:t>
      </w:r>
      <w:proofErr w:type="spellEnd"/>
      <w:r w:rsidR="00BC4E3C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C4E3C" w:rsidRPr="009468C7">
        <w:rPr>
          <w:rFonts w:ascii="Times New Roman" w:eastAsia="Times New Roman" w:hAnsi="Times New Roman" w:cs="Times New Roman"/>
        </w:rPr>
        <w:t>bil</w:t>
      </w:r>
      <w:r w:rsidR="000C3CEA" w:rsidRPr="009468C7">
        <w:rPr>
          <w:rFonts w:ascii="Times New Roman" w:eastAsia="Times New Roman" w:hAnsi="Times New Roman" w:cs="Times New Roman"/>
        </w:rPr>
        <w:t>ate</w:t>
      </w:r>
      <w:r w:rsidR="00BC4E3C" w:rsidRPr="009468C7">
        <w:rPr>
          <w:rFonts w:ascii="Times New Roman" w:eastAsia="Times New Roman" w:hAnsi="Times New Roman" w:cs="Times New Roman"/>
        </w:rPr>
        <w:t>rale</w:t>
      </w:r>
      <w:proofErr w:type="spellEnd"/>
      <w:r w:rsidR="00BC4E3C" w:rsidRPr="009468C7">
        <w:rPr>
          <w:rFonts w:ascii="Times New Roman" w:eastAsia="Times New Roman" w:hAnsi="Times New Roman" w:cs="Times New Roman"/>
        </w:rPr>
        <w:t>,</w:t>
      </w:r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është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70C0F" w:rsidRPr="009468C7">
        <w:rPr>
          <w:rFonts w:ascii="Times New Roman" w:eastAsia="Times New Roman" w:hAnsi="Times New Roman" w:cs="Times New Roman"/>
        </w:rPr>
        <w:t>hapur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thirrja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për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aplikime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për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bursa </w:t>
      </w:r>
      <w:proofErr w:type="spellStart"/>
      <w:r w:rsidRPr="009468C7">
        <w:rPr>
          <w:rFonts w:ascii="Times New Roman" w:eastAsia="Times New Roman" w:hAnsi="Times New Roman" w:cs="Times New Roman"/>
        </w:rPr>
        <w:t>për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studentë</w:t>
      </w:r>
      <w:r w:rsidR="00211D11" w:rsidRPr="009468C7">
        <w:rPr>
          <w:rFonts w:ascii="Times New Roman" w:eastAsia="Times New Roman" w:hAnsi="Times New Roman" w:cs="Times New Roman"/>
        </w:rPr>
        <w:t>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r w:rsidR="000C3CEA" w:rsidRPr="009468C7">
        <w:rPr>
          <w:rFonts w:ascii="Times New Roman" w:eastAsia="Times New Roman" w:hAnsi="Times New Roman" w:cs="Times New Roman"/>
        </w:rPr>
        <w:t>e</w:t>
      </w:r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Universitetit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0301F" w:rsidRPr="009468C7">
        <w:rPr>
          <w:rFonts w:ascii="Times New Roman" w:eastAsia="Times New Roman" w:hAnsi="Times New Roman" w:cs="Times New Roman"/>
        </w:rPr>
        <w:t>Politeknik</w:t>
      </w:r>
      <w:proofErr w:type="spellEnd"/>
      <w:r w:rsidR="0070301F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të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Tiranës</w:t>
      </w:r>
      <w:proofErr w:type="spellEnd"/>
      <w:r w:rsidR="00670C0F" w:rsidRPr="009468C7">
        <w:rPr>
          <w:rFonts w:ascii="Times New Roman" w:eastAsia="Times New Roman" w:hAnsi="Times New Roman" w:cs="Times New Roman"/>
        </w:rPr>
        <w:t>,</w:t>
      </w:r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hyperlink r:id="rId7" w:history="1">
        <w:proofErr w:type="spellStart"/>
        <w:r w:rsidR="00451CA9" w:rsidRPr="009468C7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Mälardalen</w:t>
        </w:r>
        <w:proofErr w:type="spellEnd"/>
        <w:r w:rsidR="00451CA9" w:rsidRPr="009468C7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 xml:space="preserve"> University - </w:t>
        </w:r>
        <w:proofErr w:type="spellStart"/>
        <w:r w:rsidR="00451CA9" w:rsidRPr="009468C7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Mälardalen</w:t>
        </w:r>
        <w:proofErr w:type="spellEnd"/>
        <w:r w:rsidR="00451CA9" w:rsidRPr="009468C7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 xml:space="preserve"> University</w:t>
        </w:r>
      </w:hyperlink>
      <w:r w:rsidRPr="009468C7">
        <w:rPr>
          <w:rFonts w:ascii="Times New Roman" w:eastAsia="Times New Roman" w:hAnsi="Times New Roman" w:cs="Times New Roman"/>
        </w:rPr>
        <w:t>.</w:t>
      </w:r>
    </w:p>
    <w:p w14:paraId="4062DA49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Llojet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mobilitetit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përfshijnë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>:</w:t>
      </w:r>
    </w:p>
    <w:p w14:paraId="2B5CF3BF" w14:textId="77777777" w:rsidR="00475851" w:rsidRPr="009468C7" w:rsidRDefault="00475851" w:rsidP="0047585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468C7">
        <w:rPr>
          <w:rFonts w:ascii="Times New Roman" w:eastAsia="Times New Roman" w:hAnsi="Times New Roman" w:cs="Times New Roman"/>
        </w:rPr>
        <w:t>Shkëmbimin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</w:rPr>
        <w:t>studentëve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të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nivelit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Bachelor </w:t>
      </w:r>
      <w:proofErr w:type="spellStart"/>
      <w:r w:rsidRPr="009468C7">
        <w:rPr>
          <w:rFonts w:ascii="Times New Roman" w:eastAsia="Times New Roman" w:hAnsi="Times New Roman" w:cs="Times New Roman"/>
        </w:rPr>
        <w:t>për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studime</w:t>
      </w:r>
      <w:proofErr w:type="spellEnd"/>
      <w:r w:rsidRPr="009468C7">
        <w:rPr>
          <w:rFonts w:ascii="Times New Roman" w:eastAsia="Times New Roman" w:hAnsi="Times New Roman" w:cs="Times New Roman"/>
        </w:rPr>
        <w:t>.</w:t>
      </w:r>
    </w:p>
    <w:p w14:paraId="27FFA16F" w14:textId="77777777" w:rsidR="00475851" w:rsidRPr="009468C7" w:rsidRDefault="00475851" w:rsidP="0047585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468C7">
        <w:rPr>
          <w:rFonts w:ascii="Times New Roman" w:eastAsia="Times New Roman" w:hAnsi="Times New Roman" w:cs="Times New Roman"/>
        </w:rPr>
        <w:t>Shkëmbimin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</w:rPr>
        <w:t>studentëve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të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nivelit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Master </w:t>
      </w:r>
      <w:proofErr w:type="spellStart"/>
      <w:r w:rsidRPr="009468C7">
        <w:rPr>
          <w:rFonts w:ascii="Times New Roman" w:eastAsia="Times New Roman" w:hAnsi="Times New Roman" w:cs="Times New Roman"/>
        </w:rPr>
        <w:t>për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studime</w:t>
      </w:r>
      <w:proofErr w:type="spellEnd"/>
      <w:r w:rsidRPr="009468C7">
        <w:rPr>
          <w:rFonts w:ascii="Times New Roman" w:eastAsia="Times New Roman" w:hAnsi="Times New Roman" w:cs="Times New Roman"/>
        </w:rPr>
        <w:t>.</w:t>
      </w:r>
    </w:p>
    <w:p w14:paraId="14E0D7E6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0C74B5B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Nivelet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mobilitetit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për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studentët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48A28965" w14:textId="77777777" w:rsidR="00475851" w:rsidRPr="009468C7" w:rsidRDefault="00475851" w:rsidP="00475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68C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Bachelor - </w:t>
      </w:r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Studentët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duhet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jenë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regjistruar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një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program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studimi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Bachelor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Universitetin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Politeknik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Tiranës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Fakulteti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Teknologjisë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së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Informacionit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dhe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kenë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përfunduar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vitin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parë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akademik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>).</w:t>
      </w:r>
    </w:p>
    <w:p w14:paraId="1E7DCF65" w14:textId="77777777" w:rsidR="00475851" w:rsidRPr="009468C7" w:rsidRDefault="00475851" w:rsidP="0047585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68C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Master - </w:t>
      </w:r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(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Studentët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duhet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jenë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regjistruar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një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program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studimi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Master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Universitetin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Politeknik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</w:rPr>
        <w:t>Tiranës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Fakulteti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Teknologjisë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së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Informacionit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>).</w:t>
      </w:r>
    </w:p>
    <w:p w14:paraId="5B8A1827" w14:textId="77777777" w:rsidR="00475851" w:rsidRPr="009468C7" w:rsidRDefault="00475851" w:rsidP="00475851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BCD6E6D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Kohëzagjatja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bursave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>:</w:t>
      </w:r>
    </w:p>
    <w:p w14:paraId="731238C4" w14:textId="1857F292" w:rsidR="00475851" w:rsidRPr="009468C7" w:rsidRDefault="00475851" w:rsidP="0047585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Bachelor - </w:t>
      </w:r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ab/>
        <w:t xml:space="preserve">1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semestër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, (</w:t>
      </w:r>
      <w:proofErr w:type="spellStart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semestri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B8475B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parë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vitit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akademik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202</w:t>
      </w:r>
      <w:r w:rsidR="00B8475B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6</w:t>
      </w:r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- 202</w:t>
      </w:r>
      <w:r w:rsidR="00B8475B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7</w:t>
      </w:r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) </w:t>
      </w:r>
    </w:p>
    <w:p w14:paraId="1D18A9FF" w14:textId="22D36A42" w:rsidR="00475851" w:rsidRPr="009468C7" w:rsidRDefault="00475851" w:rsidP="0047585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Master - </w:t>
      </w:r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ab/>
        <w:t xml:space="preserve">1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semestër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, (</w:t>
      </w:r>
      <w:proofErr w:type="spellStart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semestri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B8475B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par</w:t>
      </w:r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ë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vitit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akademik</w:t>
      </w:r>
      <w:proofErr w:type="spellEnd"/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202</w:t>
      </w:r>
      <w:r w:rsidR="00B8475B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6</w:t>
      </w:r>
      <w:r w:rsidRPr="009468C7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- 202)</w:t>
      </w:r>
    </w:p>
    <w:p w14:paraId="563E599A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31004B1A" w14:textId="5FF60468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Fusha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studimit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>:</w:t>
      </w:r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Fakulteti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i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Teknologjisë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së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color w:val="000000"/>
        </w:rPr>
        <w:t>Informacionit</w:t>
      </w:r>
      <w:proofErr w:type="spellEnd"/>
      <w:r w:rsidRPr="009468C7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34DFC55" w14:textId="77777777" w:rsidR="00475851" w:rsidRPr="009468C7" w:rsidRDefault="00475851" w:rsidP="00475851">
      <w:pPr>
        <w:spacing w:after="0"/>
        <w:jc w:val="both"/>
        <w:rPr>
          <w:rFonts w:ascii="Times New Roman" w:eastAsia="Times New Roman" w:hAnsi="Times New Roman" w:cs="Times New Roman"/>
          <w:bCs/>
          <w:iCs/>
        </w:rPr>
      </w:pPr>
    </w:p>
    <w:p w14:paraId="11D64B8F" w14:textId="00744BD4" w:rsidR="00475851" w:rsidRPr="009468C7" w:rsidRDefault="00475851" w:rsidP="00475851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Numri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total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</w:rPr>
        <w:t>studentëve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>:</w:t>
      </w:r>
      <w:r w:rsidRPr="009468C7">
        <w:rPr>
          <w:rFonts w:ascii="Times New Roman" w:eastAsia="Times New Roman" w:hAnsi="Times New Roman" w:cs="Times New Roman"/>
        </w:rPr>
        <w:t xml:space="preserve"> </w:t>
      </w:r>
      <w:r w:rsidR="00B8475B">
        <w:rPr>
          <w:rFonts w:ascii="Times New Roman" w:eastAsia="Times New Roman" w:hAnsi="Times New Roman" w:cs="Times New Roman"/>
        </w:rPr>
        <w:t>2</w:t>
      </w:r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studentë</w:t>
      </w:r>
      <w:proofErr w:type="spellEnd"/>
    </w:p>
    <w:p w14:paraId="651D5808" w14:textId="77777777" w:rsidR="00475851" w:rsidRPr="009468C7" w:rsidRDefault="00475851" w:rsidP="0047585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C715C1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9468C7">
        <w:rPr>
          <w:rFonts w:ascii="Times New Roman" w:eastAsia="Times New Roman" w:hAnsi="Times New Roman" w:cs="Times New Roman"/>
          <w:b/>
        </w:rPr>
        <w:t>Dokumentat</w:t>
      </w:r>
      <w:proofErr w:type="spellEnd"/>
      <w:r w:rsidRPr="009468C7"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  <w:b/>
        </w:rPr>
        <w:t>nevojshme</w:t>
      </w:r>
      <w:proofErr w:type="spellEnd"/>
      <w:r w:rsidRPr="009468C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</w:rPr>
        <w:t>për</w:t>
      </w:r>
      <w:proofErr w:type="spellEnd"/>
      <w:r w:rsidRPr="009468C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</w:rPr>
        <w:t>aplikim</w:t>
      </w:r>
      <w:proofErr w:type="spellEnd"/>
      <w:r w:rsidRPr="009468C7">
        <w:rPr>
          <w:rFonts w:ascii="Times New Roman" w:eastAsia="Times New Roman" w:hAnsi="Times New Roman" w:cs="Times New Roman"/>
          <w:b/>
          <w:bCs/>
        </w:rPr>
        <w:t>:</w:t>
      </w:r>
    </w:p>
    <w:p w14:paraId="3D9A67B4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68C7">
        <w:rPr>
          <w:rFonts w:ascii="Times New Roman" w:eastAsia="Times New Roman" w:hAnsi="Times New Roman" w:cs="Times New Roman"/>
        </w:rPr>
        <w:t xml:space="preserve">- CV, </w:t>
      </w: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anglisht</w:t>
      </w:r>
      <w:proofErr w:type="spellEnd"/>
      <w:r w:rsidRPr="009468C7">
        <w:rPr>
          <w:rFonts w:ascii="Times New Roman" w:eastAsia="Times New Roman" w:hAnsi="Times New Roman" w:cs="Times New Roman"/>
        </w:rPr>
        <w:t>;</w:t>
      </w:r>
    </w:p>
    <w:p w14:paraId="67892F04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68C7">
        <w:rPr>
          <w:rFonts w:ascii="Times New Roman" w:eastAsia="Times New Roman" w:hAnsi="Times New Roman" w:cs="Times New Roman"/>
        </w:rPr>
        <w:t xml:space="preserve">- Kopje e </w:t>
      </w:r>
      <w:proofErr w:type="spellStart"/>
      <w:r w:rsidRPr="009468C7">
        <w:rPr>
          <w:rFonts w:ascii="Times New Roman" w:eastAsia="Times New Roman" w:hAnsi="Times New Roman" w:cs="Times New Roman"/>
        </w:rPr>
        <w:t>Pasaportës</w:t>
      </w:r>
      <w:proofErr w:type="spellEnd"/>
      <w:r w:rsidRPr="009468C7">
        <w:rPr>
          <w:rFonts w:ascii="Times New Roman" w:eastAsia="Times New Roman" w:hAnsi="Times New Roman" w:cs="Times New Roman"/>
        </w:rPr>
        <w:t>;</w:t>
      </w:r>
    </w:p>
    <w:p w14:paraId="14DDA95D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68C7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468C7">
        <w:rPr>
          <w:rFonts w:ascii="Times New Roman" w:eastAsia="Times New Roman" w:hAnsi="Times New Roman" w:cs="Times New Roman"/>
        </w:rPr>
        <w:t>Vërtetim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studenti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shqip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</w:rPr>
        <w:t>si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dhe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anglisht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i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noterizuar</w:t>
      </w:r>
      <w:proofErr w:type="spellEnd"/>
      <w:r w:rsidRPr="009468C7">
        <w:rPr>
          <w:rFonts w:ascii="Times New Roman" w:eastAsia="Times New Roman" w:hAnsi="Times New Roman" w:cs="Times New Roman"/>
        </w:rPr>
        <w:t>;</w:t>
      </w:r>
    </w:p>
    <w:p w14:paraId="16B70065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68C7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468C7">
        <w:rPr>
          <w:rFonts w:ascii="Times New Roman" w:eastAsia="Times New Roman" w:hAnsi="Times New Roman" w:cs="Times New Roman"/>
        </w:rPr>
        <w:t>Listë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notash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</w:rPr>
        <w:t>studimeve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deri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momentin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</w:rPr>
        <w:t>aplikimit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shqip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</w:rPr>
        <w:t>si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dhe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anglisht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i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noterizuar</w:t>
      </w:r>
      <w:proofErr w:type="spellEnd"/>
      <w:r w:rsidRPr="009468C7">
        <w:rPr>
          <w:rFonts w:ascii="Times New Roman" w:eastAsia="Times New Roman" w:hAnsi="Times New Roman" w:cs="Times New Roman"/>
        </w:rPr>
        <w:t>;</w:t>
      </w:r>
    </w:p>
    <w:p w14:paraId="0596F198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68C7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468C7">
        <w:rPr>
          <w:rFonts w:ascii="Times New Roman" w:eastAsia="Times New Roman" w:hAnsi="Times New Roman" w:cs="Times New Roman"/>
        </w:rPr>
        <w:t>Letër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Motivimi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9468C7">
        <w:rPr>
          <w:rFonts w:ascii="Times New Roman" w:eastAsia="Times New Roman" w:hAnsi="Times New Roman" w:cs="Times New Roman"/>
        </w:rPr>
        <w:t>në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gjuhën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angleze</w:t>
      </w:r>
      <w:proofErr w:type="spellEnd"/>
      <w:r w:rsidRPr="009468C7">
        <w:rPr>
          <w:rFonts w:ascii="Times New Roman" w:eastAsia="Times New Roman" w:hAnsi="Times New Roman" w:cs="Times New Roman"/>
        </w:rPr>
        <w:t>);</w:t>
      </w:r>
    </w:p>
    <w:p w14:paraId="0ABF11F7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68C7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468C7">
        <w:rPr>
          <w:rFonts w:ascii="Times New Roman" w:eastAsia="Times New Roman" w:hAnsi="Times New Roman" w:cs="Times New Roman"/>
        </w:rPr>
        <w:t>Çertifikatë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</w:rPr>
        <w:t>gjuhës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së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huaj</w:t>
      </w:r>
      <w:proofErr w:type="spellEnd"/>
      <w:r w:rsidRPr="009468C7">
        <w:rPr>
          <w:rFonts w:ascii="Times New Roman" w:eastAsia="Times New Roman" w:hAnsi="Times New Roman" w:cs="Times New Roman"/>
        </w:rPr>
        <w:t>*;</w:t>
      </w:r>
    </w:p>
    <w:p w14:paraId="5F20D79E" w14:textId="77777777" w:rsidR="00475851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68C7">
        <w:rPr>
          <w:rFonts w:ascii="Times New Roman" w:eastAsia="Times New Roman" w:hAnsi="Times New Roman" w:cs="Times New Roman"/>
        </w:rPr>
        <w:t xml:space="preserve">- </w:t>
      </w:r>
      <w:r w:rsidRPr="009468C7">
        <w:rPr>
          <w:rFonts w:ascii="Times New Roman" w:hAnsi="Times New Roman" w:cs="Times New Roman"/>
          <w:i/>
          <w:iCs/>
        </w:rPr>
        <w:t>Certificate of Current Registration</w:t>
      </w:r>
      <w:r w:rsidRPr="009468C7">
        <w:rPr>
          <w:rFonts w:ascii="Times New Roman" w:hAnsi="Times New Roman" w:cs="Times New Roman"/>
        </w:rPr>
        <w:t xml:space="preserve">, </w:t>
      </w:r>
      <w:proofErr w:type="spellStart"/>
      <w:r w:rsidRPr="009468C7">
        <w:rPr>
          <w:rFonts w:ascii="Times New Roman" w:hAnsi="Times New Roman" w:cs="Times New Roman"/>
        </w:rPr>
        <w:t>sipas</w:t>
      </w:r>
      <w:proofErr w:type="spellEnd"/>
      <w:r w:rsidRPr="009468C7">
        <w:rPr>
          <w:rFonts w:ascii="Times New Roman" w:hAnsi="Times New Roman" w:cs="Times New Roman"/>
        </w:rPr>
        <w:t xml:space="preserve"> </w:t>
      </w:r>
      <w:proofErr w:type="spellStart"/>
      <w:r w:rsidRPr="009468C7">
        <w:rPr>
          <w:rFonts w:ascii="Times New Roman" w:hAnsi="Times New Roman" w:cs="Times New Roman"/>
        </w:rPr>
        <w:t>formatit</w:t>
      </w:r>
      <w:proofErr w:type="spellEnd"/>
      <w:r w:rsidRPr="009468C7">
        <w:rPr>
          <w:rFonts w:ascii="Times New Roman" w:hAnsi="Times New Roman" w:cs="Times New Roman"/>
        </w:rPr>
        <w:t xml:space="preserve"> </w:t>
      </w:r>
      <w:proofErr w:type="spellStart"/>
      <w:r w:rsidRPr="009468C7">
        <w:rPr>
          <w:rFonts w:ascii="Times New Roman" w:hAnsi="Times New Roman" w:cs="Times New Roman"/>
        </w:rPr>
        <w:t>në</w:t>
      </w:r>
      <w:proofErr w:type="spellEnd"/>
      <w:r w:rsidRPr="009468C7">
        <w:rPr>
          <w:rFonts w:ascii="Times New Roman" w:hAnsi="Times New Roman" w:cs="Times New Roman"/>
        </w:rPr>
        <w:t xml:space="preserve"> PDF </w:t>
      </w:r>
      <w:proofErr w:type="spellStart"/>
      <w:r w:rsidRPr="009468C7">
        <w:rPr>
          <w:rFonts w:ascii="Times New Roman" w:hAnsi="Times New Roman" w:cs="Times New Roman"/>
        </w:rPr>
        <w:t>bashkëlidhur</w:t>
      </w:r>
      <w:proofErr w:type="spellEnd"/>
    </w:p>
    <w:p w14:paraId="25E486DF" w14:textId="5B66D128" w:rsidR="004B5A20" w:rsidRPr="009468C7" w:rsidRDefault="00475851" w:rsidP="004758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68C7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9468C7">
        <w:rPr>
          <w:rFonts w:ascii="Times New Roman" w:eastAsia="Times New Roman" w:hAnsi="Times New Roman" w:cs="Times New Roman"/>
        </w:rPr>
        <w:t>Dokumenti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Learning Agreement**. </w:t>
      </w:r>
    </w:p>
    <w:p w14:paraId="2EC833A0" w14:textId="77777777" w:rsidR="00CC18D5" w:rsidRPr="009468C7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714216" w14:textId="3C86CF85" w:rsidR="00F700B6" w:rsidRPr="009468C7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468C7">
        <w:rPr>
          <w:rFonts w:ascii="Times New Roman" w:eastAsia="Times New Roman" w:hAnsi="Times New Roman" w:cs="Times New Roman"/>
        </w:rPr>
        <w:t>*</w:t>
      </w:r>
      <w:proofErr w:type="spellStart"/>
      <w:r w:rsidR="00393789" w:rsidRPr="009468C7">
        <w:rPr>
          <w:rFonts w:ascii="Times New Roman" w:eastAsia="Times New Roman" w:hAnsi="Times New Roman" w:cs="Times New Roman"/>
          <w:i/>
        </w:rPr>
        <w:t>O</w:t>
      </w:r>
      <w:r w:rsidR="00377FDD" w:rsidRPr="009468C7">
        <w:rPr>
          <w:rFonts w:ascii="Times New Roman" w:eastAsia="Times New Roman" w:hAnsi="Times New Roman" w:cs="Times New Roman"/>
          <w:i/>
        </w:rPr>
        <w:t>f</w:t>
      </w:r>
      <w:r w:rsidRPr="009468C7">
        <w:rPr>
          <w:rFonts w:ascii="Times New Roman" w:eastAsia="Times New Roman" w:hAnsi="Times New Roman" w:cs="Times New Roman"/>
          <w:i/>
        </w:rPr>
        <w:t>ro</w:t>
      </w:r>
      <w:r w:rsidR="00377FDD" w:rsidRPr="009468C7">
        <w:rPr>
          <w:rFonts w:ascii="Times New Roman" w:eastAsia="Times New Roman" w:hAnsi="Times New Roman" w:cs="Times New Roman"/>
          <w:i/>
        </w:rPr>
        <w:t>he</w:t>
      </w:r>
      <w:r w:rsidRPr="009468C7">
        <w:rPr>
          <w:rFonts w:ascii="Times New Roman" w:eastAsia="Times New Roman" w:hAnsi="Times New Roman" w:cs="Times New Roman"/>
          <w:i/>
        </w:rPr>
        <w:t>n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kurset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studimit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gjuhën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angleze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ku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niveli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i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për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dyja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gjuhët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është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B</w:t>
      </w:r>
      <w:r w:rsidR="006220AD" w:rsidRPr="009468C7">
        <w:rPr>
          <w:rFonts w:ascii="Times New Roman" w:eastAsia="Times New Roman" w:hAnsi="Times New Roman" w:cs="Times New Roman"/>
          <w:i/>
        </w:rPr>
        <w:t>2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="006C77A3" w:rsidRPr="009468C7">
        <w:rPr>
          <w:rFonts w:ascii="Times New Roman" w:eastAsia="Times New Roman" w:hAnsi="Times New Roman" w:cs="Times New Roman"/>
          <w:i/>
        </w:rPr>
        <w:t>S</w:t>
      </w:r>
      <w:r w:rsidRPr="009468C7">
        <w:rPr>
          <w:rFonts w:ascii="Times New Roman" w:eastAsia="Times New Roman" w:hAnsi="Times New Roman" w:cs="Times New Roman"/>
          <w:i/>
        </w:rPr>
        <w:t>tudenti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duhet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plotësojë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nivelin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minimal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kërkuar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6220AD" w:rsidRPr="009468C7">
        <w:rPr>
          <w:rFonts w:ascii="Times New Roman" w:eastAsia="Times New Roman" w:hAnsi="Times New Roman" w:cs="Times New Roman"/>
          <w:i/>
        </w:rPr>
        <w:t>gjuhë</w:t>
      </w:r>
      <w:r w:rsidR="006C77A3" w:rsidRPr="009468C7">
        <w:rPr>
          <w:rFonts w:ascii="Times New Roman" w:eastAsia="Times New Roman" w:hAnsi="Times New Roman" w:cs="Times New Roman"/>
          <w:i/>
        </w:rPr>
        <w:t>n</w:t>
      </w:r>
      <w:proofErr w:type="spellEnd"/>
      <w:r w:rsidR="006220AD" w:rsidRPr="009468C7">
        <w:rPr>
          <w:rFonts w:ascii="Times New Roman" w:eastAsia="Times New Roman" w:hAnsi="Times New Roman" w:cs="Times New Roman"/>
          <w:i/>
        </w:rPr>
        <w:t xml:space="preserve"> duke e </w:t>
      </w:r>
      <w:proofErr w:type="spellStart"/>
      <w:r w:rsidR="006220AD" w:rsidRPr="009468C7">
        <w:rPr>
          <w:rFonts w:ascii="Times New Roman" w:eastAsia="Times New Roman" w:hAnsi="Times New Roman" w:cs="Times New Roman"/>
          <w:i/>
        </w:rPr>
        <w:t>vërtetuar</w:t>
      </w:r>
      <w:proofErr w:type="spellEnd"/>
      <w:r w:rsidR="006220AD" w:rsidRPr="009468C7">
        <w:rPr>
          <w:rFonts w:ascii="Times New Roman" w:eastAsia="Times New Roman" w:hAnsi="Times New Roman" w:cs="Times New Roman"/>
          <w:i/>
        </w:rPr>
        <w:t xml:space="preserve"> me </w:t>
      </w:r>
      <w:proofErr w:type="spellStart"/>
      <w:r w:rsidR="006220AD" w:rsidRPr="009468C7">
        <w:rPr>
          <w:rFonts w:ascii="Times New Roman" w:eastAsia="Times New Roman" w:hAnsi="Times New Roman" w:cs="Times New Roman"/>
          <w:i/>
        </w:rPr>
        <w:t>ç</w:t>
      </w:r>
      <w:r w:rsidRPr="009468C7">
        <w:rPr>
          <w:rFonts w:ascii="Times New Roman" w:eastAsia="Times New Roman" w:hAnsi="Times New Roman" w:cs="Times New Roman"/>
          <w:i/>
        </w:rPr>
        <w:t>ertifikatën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përkatëse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gjuhës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së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huaj</w:t>
      </w:r>
      <w:proofErr w:type="spellEnd"/>
      <w:r w:rsidRPr="009468C7">
        <w:rPr>
          <w:rFonts w:ascii="Times New Roman" w:eastAsia="Times New Roman" w:hAnsi="Times New Roman" w:cs="Times New Roman"/>
          <w:i/>
        </w:rPr>
        <w:t>.</w:t>
      </w:r>
    </w:p>
    <w:p w14:paraId="01013258" w14:textId="77777777" w:rsidR="00CC18D5" w:rsidRPr="009468C7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F5001C" w14:textId="77777777" w:rsidR="00F700B6" w:rsidRPr="009468C7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**Learning Agreement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është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një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kontratë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midis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universitetit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origjinës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aplikantit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shërben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përcaktuar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plotësoni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vetëm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seksionin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parë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‘‘Mobility Plan’’.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gram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A</w:t>
      </w:r>
      <w:proofErr w:type="gram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përcaktohen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merrni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pritës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tabelën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B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përcaktohet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se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cilat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prej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lëndëve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Tabelës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A </w:t>
      </w:r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do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njihet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9468C7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9468C7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keni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përfunduar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periudhën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shkëmbimit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4311F71B" w14:textId="77777777" w:rsidR="00CC18D5" w:rsidRPr="009468C7" w:rsidRDefault="00CC18D5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341B059" w14:textId="5D61AF5E" w:rsidR="00CC18D5" w:rsidRPr="009468C7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KUJDES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: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përzgjidhni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kryeni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BE6E57" w:rsidRPr="009468C7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Mälardalen</w:t>
      </w:r>
      <w:proofErr w:type="spellEnd"/>
      <w:r w:rsidR="00BE6E57" w:rsidRPr="009468C7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University</w:t>
      </w:r>
      <w:r w:rsidR="00BE6E57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lëndë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njëjta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ose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ekuivalente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ato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kryenit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semestrin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9468C7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9468C7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kjo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arsye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kreditet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t’ju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njihen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Nëse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përzgjedhura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ndryshojnë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ata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do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zhvillonit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fakultetin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tuaj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semestrin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="00C54E5A" w:rsidRPr="009468C7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rkat</w:t>
      </w:r>
      <w:r w:rsidR="00C54E5A" w:rsidRPr="009468C7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atëherë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kur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ktheheni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ju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duhet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zhvilloni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lëndët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që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nuk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përshtaten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Universitetin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Politeknik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t</w:t>
      </w:r>
      <w:r w:rsidR="00C54E5A" w:rsidRPr="009468C7">
        <w:rPr>
          <w:rFonts w:ascii="Times New Roman" w:eastAsia="Times New Roman" w:hAnsi="Times New Roman" w:cs="Times New Roman"/>
          <w:i/>
          <w:iCs/>
          <w:color w:val="000000"/>
        </w:rPr>
        <w:t>ë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Tiran</w:t>
      </w:r>
      <w:r w:rsidR="00C54E5A" w:rsidRPr="009468C7">
        <w:rPr>
          <w:rFonts w:ascii="Times New Roman" w:eastAsia="Times New Roman" w:hAnsi="Times New Roman" w:cs="Times New Roman"/>
          <w:i/>
          <w:iCs/>
          <w:color w:val="000000"/>
        </w:rPr>
        <w:t>ë</w:t>
      </w:r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s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. </w:t>
      </w:r>
    </w:p>
    <w:p w14:paraId="2A1706EC" w14:textId="219CD8E9" w:rsidR="00F700B6" w:rsidRPr="009468C7" w:rsidRDefault="00F700B6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Dokumenti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‘‘Learning Agreement’’ </w:t>
      </w:r>
      <w:proofErr w:type="spellStart"/>
      <w:proofErr w:type="gram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te</w:t>
      </w:r>
      <w:proofErr w:type="spellEnd"/>
      <w:proofErr w:type="gram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seksioni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‘‘Commitment’’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firmoset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aplikanti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670C0F" w:rsidRPr="009468C7">
        <w:rPr>
          <w:rFonts w:ascii="Times New Roman" w:eastAsia="Times New Roman" w:hAnsi="Times New Roman" w:cs="Times New Roman"/>
          <w:i/>
          <w:iCs/>
          <w:color w:val="000000"/>
        </w:rPr>
        <w:t>K</w:t>
      </w:r>
      <w:r w:rsidRPr="009468C7">
        <w:rPr>
          <w:rFonts w:ascii="Times New Roman" w:eastAsia="Times New Roman" w:hAnsi="Times New Roman" w:cs="Times New Roman"/>
          <w:i/>
          <w:iCs/>
          <w:color w:val="000000"/>
        </w:rPr>
        <w:t>oordinatori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670C0F" w:rsidRPr="009468C7">
        <w:rPr>
          <w:rFonts w:ascii="Times New Roman" w:eastAsia="Times New Roman" w:hAnsi="Times New Roman" w:cs="Times New Roman"/>
          <w:i/>
          <w:iCs/>
          <w:color w:val="000000"/>
        </w:rPr>
        <w:t>A</w:t>
      </w:r>
      <w:r w:rsidRPr="009468C7">
        <w:rPr>
          <w:rFonts w:ascii="Times New Roman" w:eastAsia="Times New Roman" w:hAnsi="Times New Roman" w:cs="Times New Roman"/>
          <w:i/>
          <w:iCs/>
          <w:color w:val="000000"/>
        </w:rPr>
        <w:t>kademik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Fa</w:t>
      </w:r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kultetit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nga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Zv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/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Rektori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i</w:t>
      </w:r>
      <w:proofErr w:type="spellEnd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="00CC18D5" w:rsidRPr="009468C7">
        <w:rPr>
          <w:rFonts w:ascii="Times New Roman" w:eastAsia="Times New Roman" w:hAnsi="Times New Roman" w:cs="Times New Roman"/>
          <w:i/>
          <w:iCs/>
          <w:color w:val="000000"/>
        </w:rPr>
        <w:t>UPT</w:t>
      </w:r>
      <w:r w:rsidRPr="009468C7">
        <w:rPr>
          <w:rFonts w:ascii="Times New Roman" w:eastAsia="Times New Roman" w:hAnsi="Times New Roman" w:cs="Times New Roman"/>
          <w:i/>
          <w:iCs/>
          <w:color w:val="000000"/>
        </w:rPr>
        <w:t>-së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për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Anën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Shkencore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dhe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Marrëdhëniet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 xml:space="preserve"> me </w:t>
      </w:r>
      <w:proofErr w:type="spellStart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Jashtë</w:t>
      </w:r>
      <w:proofErr w:type="spellEnd"/>
      <w:r w:rsidRPr="009468C7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5071553D" w14:textId="77777777" w:rsidR="000C3003" w:rsidRPr="009468C7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2572EADA" w14:textId="2B341245" w:rsidR="00017E20" w:rsidRPr="00C93A03" w:rsidRDefault="00017E20" w:rsidP="00C93A03">
      <w:pPr>
        <w:pStyle w:val="NoSpacing"/>
        <w:rPr>
          <w:rFonts w:ascii="Times New Roman" w:hAnsi="Times New Roman" w:cs="Times New Roman"/>
        </w:rPr>
      </w:pPr>
      <w:proofErr w:type="spellStart"/>
      <w:r w:rsidRPr="009468C7">
        <w:rPr>
          <w:rFonts w:ascii="Times New Roman" w:hAnsi="Times New Roman" w:cs="Times New Roman"/>
        </w:rPr>
        <w:t>Për</w:t>
      </w:r>
      <w:proofErr w:type="spellEnd"/>
      <w:r w:rsidRPr="009468C7">
        <w:rPr>
          <w:rFonts w:ascii="Times New Roman" w:hAnsi="Times New Roman" w:cs="Times New Roman"/>
        </w:rPr>
        <w:t xml:space="preserve"> </w:t>
      </w:r>
      <w:proofErr w:type="spellStart"/>
      <w:r w:rsidRPr="009468C7">
        <w:rPr>
          <w:rFonts w:ascii="Times New Roman" w:hAnsi="Times New Roman" w:cs="Times New Roman"/>
        </w:rPr>
        <w:t>të</w:t>
      </w:r>
      <w:proofErr w:type="spellEnd"/>
      <w:r w:rsidRPr="009468C7">
        <w:rPr>
          <w:rFonts w:ascii="Times New Roman" w:hAnsi="Times New Roman" w:cs="Times New Roman"/>
        </w:rPr>
        <w:t xml:space="preserve"> </w:t>
      </w:r>
      <w:proofErr w:type="spellStart"/>
      <w:r w:rsidRPr="009468C7">
        <w:rPr>
          <w:rFonts w:ascii="Times New Roman" w:hAnsi="Times New Roman" w:cs="Times New Roman"/>
        </w:rPr>
        <w:t>shkarkuar</w:t>
      </w:r>
      <w:proofErr w:type="spellEnd"/>
      <w:r w:rsidRPr="009468C7">
        <w:rPr>
          <w:rFonts w:ascii="Times New Roman" w:hAnsi="Times New Roman" w:cs="Times New Roman"/>
        </w:rPr>
        <w:t xml:space="preserve"> </w:t>
      </w:r>
      <w:proofErr w:type="spellStart"/>
      <w:r w:rsidRPr="009468C7">
        <w:rPr>
          <w:rFonts w:ascii="Times New Roman" w:hAnsi="Times New Roman" w:cs="Times New Roman"/>
        </w:rPr>
        <w:t>formatin</w:t>
      </w:r>
      <w:proofErr w:type="spellEnd"/>
      <w:r w:rsidRPr="009468C7">
        <w:rPr>
          <w:rFonts w:ascii="Times New Roman" w:hAnsi="Times New Roman" w:cs="Times New Roman"/>
        </w:rPr>
        <w:t xml:space="preserve"> e “Learning Agreement” </w:t>
      </w:r>
      <w:proofErr w:type="spellStart"/>
      <w:r w:rsidRPr="009468C7">
        <w:rPr>
          <w:rFonts w:ascii="Times New Roman" w:hAnsi="Times New Roman" w:cs="Times New Roman"/>
        </w:rPr>
        <w:t>klikoni</w:t>
      </w:r>
      <w:proofErr w:type="spellEnd"/>
      <w:r w:rsidRPr="009468C7">
        <w:rPr>
          <w:rFonts w:ascii="Times New Roman" w:hAnsi="Times New Roman" w:cs="Times New Roman"/>
        </w:rPr>
        <w:t xml:space="preserve">: </w:t>
      </w:r>
      <w:hyperlink r:id="rId8" w:tgtFrame="_blank" w:tooltip="https://view.officeapps.live.com/op/view.aspx?src=https%3A%2F%2Ferasmus-plus.ec.europa.eu%2Fsites%2Fdefault%2Ffiles%2F2023-06%2Fonline-learning-agreement-studies-ka171-2023_en.docx&amp;wdOrigin=BROWSELINK" w:history="1">
        <w:r w:rsidR="00DF4625">
          <w:rPr>
            <w:rStyle w:val="Hyperlink"/>
            <w:rFonts w:ascii="Calibri" w:hAnsi="Calibri"/>
            <w:bdr w:val="none" w:sz="0" w:space="0" w:color="auto" w:frame="1"/>
            <w:shd w:val="clear" w:color="auto" w:fill="FFFFFF"/>
          </w:rPr>
          <w:t>learning-agreement</w:t>
        </w:r>
      </w:hyperlink>
      <w:bookmarkStart w:id="0" w:name="_GoBack"/>
      <w:bookmarkEnd w:id="0"/>
      <w:r w:rsidR="00B8475B">
        <w:rPr>
          <w:rFonts w:ascii="Times New Roman" w:eastAsia="Times New Roman" w:hAnsi="Times New Roman" w:cs="Times New Roman"/>
          <w:i/>
          <w:iCs/>
          <w:sz w:val="24"/>
          <w:szCs w:val="24"/>
        </w:rPr>
        <w:t> (for students from non-EU countries)</w:t>
      </w:r>
    </w:p>
    <w:p w14:paraId="4CEBC345" w14:textId="2019AD74" w:rsidR="000C3003" w:rsidRPr="009468C7" w:rsidRDefault="000C3003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6F365412" w14:textId="5FFEED50" w:rsidR="00E870EA" w:rsidRPr="009468C7" w:rsidRDefault="00E870EA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9468C7">
        <w:rPr>
          <w:rFonts w:ascii="Times New Roman" w:eastAsia="Times New Roman" w:hAnsi="Times New Roman" w:cs="Times New Roman"/>
          <w:i/>
        </w:rPr>
        <w:t>Për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t’u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njohur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me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lëndët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që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ofrohen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në</w:t>
      </w:r>
      <w:proofErr w:type="spellEnd"/>
      <w:r w:rsidRPr="009468C7">
        <w:rPr>
          <w:rFonts w:ascii="Times New Roman" w:eastAsia="Times New Roman" w:hAnsi="Times New Roman" w:cs="Times New Roman"/>
          <w:iCs/>
        </w:rPr>
        <w:t xml:space="preserve"> </w:t>
      </w:r>
      <w:proofErr w:type="spellStart"/>
      <w:r w:rsidR="00BE6E57" w:rsidRPr="009468C7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>Mälardalen</w:t>
      </w:r>
      <w:proofErr w:type="spellEnd"/>
      <w:r w:rsidR="00BE6E57" w:rsidRPr="009468C7">
        <w:rPr>
          <w:rFonts w:ascii="Times New Roman" w:hAnsi="Times New Roman" w:cs="Times New Roman"/>
          <w:i/>
          <w:iCs/>
          <w:bdr w:val="none" w:sz="0" w:space="0" w:color="auto" w:frame="1"/>
          <w:shd w:val="clear" w:color="auto" w:fill="FFFFFF"/>
        </w:rPr>
        <w:t xml:space="preserve"> University</w:t>
      </w:r>
      <w:r w:rsidRPr="009468C7">
        <w:rPr>
          <w:rFonts w:ascii="Times New Roman" w:eastAsia="Times New Roman" w:hAnsi="Times New Roman" w:cs="Times New Roman"/>
          <w:iCs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sipas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niveleve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dhe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fushave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t</w:t>
      </w:r>
      <w:r w:rsidR="005B3F8F" w:rsidRPr="009468C7">
        <w:rPr>
          <w:rFonts w:ascii="Times New Roman" w:eastAsia="Times New Roman" w:hAnsi="Times New Roman" w:cs="Times New Roman"/>
          <w:i/>
        </w:rPr>
        <w:t>ë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studimit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9468C7">
        <w:rPr>
          <w:rFonts w:ascii="Times New Roman" w:eastAsia="Times New Roman" w:hAnsi="Times New Roman" w:cs="Times New Roman"/>
          <w:i/>
        </w:rPr>
        <w:t>klikoni</w:t>
      </w:r>
      <w:proofErr w:type="spellEnd"/>
      <w:r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BE6E57" w:rsidRPr="009468C7">
        <w:rPr>
          <w:rFonts w:ascii="Times New Roman" w:eastAsia="Times New Roman" w:hAnsi="Times New Roman" w:cs="Times New Roman"/>
          <w:i/>
        </w:rPr>
        <w:t>te</w:t>
      </w:r>
      <w:proofErr w:type="spellEnd"/>
      <w:r w:rsidR="00BE6E57" w:rsidRPr="009468C7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BE6E57" w:rsidRPr="009468C7">
        <w:rPr>
          <w:rFonts w:ascii="Times New Roman" w:eastAsia="Times New Roman" w:hAnsi="Times New Roman" w:cs="Times New Roman"/>
          <w:i/>
        </w:rPr>
        <w:t>linku</w:t>
      </w:r>
      <w:proofErr w:type="spellEnd"/>
      <w:r w:rsidR="00BE6E57" w:rsidRPr="009468C7">
        <w:rPr>
          <w:rFonts w:ascii="Times New Roman" w:eastAsia="Times New Roman" w:hAnsi="Times New Roman" w:cs="Times New Roman"/>
          <w:i/>
        </w:rPr>
        <w:t>:</w:t>
      </w:r>
    </w:p>
    <w:p w14:paraId="6CA58DC7" w14:textId="0413A232" w:rsidR="00E870EA" w:rsidRPr="009468C7" w:rsidRDefault="00136AAC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  <w:hyperlink r:id="rId9" w:history="1">
        <w:r w:rsidR="00BE6E57" w:rsidRPr="009468C7">
          <w:rPr>
            <w:rStyle w:val="Hyperlink"/>
            <w:rFonts w:ascii="Times New Roman" w:eastAsia="Times New Roman" w:hAnsi="Times New Roman" w:cs="Times New Roman"/>
            <w:iCs/>
          </w:rPr>
          <w:t>https://www.mdh.se/en/malardalen-university/education/find-education</w:t>
        </w:r>
      </w:hyperlink>
    </w:p>
    <w:p w14:paraId="6BAFCBEA" w14:textId="77777777" w:rsidR="00BE6E57" w:rsidRPr="009468C7" w:rsidRDefault="00BE6E57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</w:rPr>
      </w:pPr>
    </w:p>
    <w:p w14:paraId="0BAEFA6C" w14:textId="19D7E350" w:rsidR="006E01AD" w:rsidRPr="009468C7" w:rsidRDefault="006E01A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proofErr w:type="spellStart"/>
      <w:r w:rsidRPr="009468C7">
        <w:rPr>
          <w:rFonts w:ascii="Times New Roman" w:eastAsia="Times New Roman" w:hAnsi="Times New Roman" w:cs="Times New Roman"/>
          <w:b/>
          <w:bCs/>
          <w:iCs/>
        </w:rPr>
        <w:t>Afati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iCs/>
        </w:rPr>
        <w:t>për</w:t>
      </w:r>
      <w:proofErr w:type="spellEnd"/>
      <w:r w:rsidRPr="009468C7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  <w:b/>
          <w:bCs/>
          <w:iCs/>
        </w:rPr>
        <w:t>aplikim</w:t>
      </w:r>
      <w:proofErr w:type="spellEnd"/>
      <w:r w:rsidR="00C373AC" w:rsidRPr="009468C7">
        <w:rPr>
          <w:rFonts w:ascii="Times New Roman" w:eastAsia="Times New Roman" w:hAnsi="Times New Roman" w:cs="Times New Roman"/>
          <w:b/>
          <w:bCs/>
          <w:iCs/>
        </w:rPr>
        <w:t xml:space="preserve">: </w:t>
      </w:r>
      <w:r w:rsidR="007D3CA7" w:rsidRPr="009468C7">
        <w:rPr>
          <w:rFonts w:ascii="Times New Roman" w:eastAsia="Times New Roman" w:hAnsi="Times New Roman" w:cs="Times New Roman"/>
          <w:b/>
          <w:bCs/>
          <w:iCs/>
        </w:rPr>
        <w:t>D</w:t>
      </w:r>
      <w:r w:rsidR="00C373AC" w:rsidRPr="009468C7">
        <w:rPr>
          <w:rFonts w:ascii="Times New Roman" w:eastAsia="Times New Roman" w:hAnsi="Times New Roman" w:cs="Times New Roman"/>
          <w:b/>
          <w:bCs/>
          <w:iCs/>
        </w:rPr>
        <w:t xml:space="preserve">eri </w:t>
      </w:r>
      <w:proofErr w:type="spellStart"/>
      <w:r w:rsidR="00C373AC" w:rsidRPr="009468C7">
        <w:rPr>
          <w:rFonts w:ascii="Times New Roman" w:eastAsia="Times New Roman" w:hAnsi="Times New Roman" w:cs="Times New Roman"/>
          <w:b/>
          <w:bCs/>
          <w:iCs/>
        </w:rPr>
        <w:t>më</w:t>
      </w:r>
      <w:proofErr w:type="spellEnd"/>
      <w:r w:rsidR="00C373AC" w:rsidRPr="009468C7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B8475B">
        <w:rPr>
          <w:rFonts w:ascii="Times New Roman" w:eastAsia="Times New Roman" w:hAnsi="Times New Roman" w:cs="Times New Roman"/>
          <w:b/>
          <w:bCs/>
          <w:iCs/>
        </w:rPr>
        <w:t xml:space="preserve">1 </w:t>
      </w:r>
      <w:proofErr w:type="spellStart"/>
      <w:r w:rsidR="00B8475B">
        <w:rPr>
          <w:rFonts w:ascii="Times New Roman" w:eastAsia="Times New Roman" w:hAnsi="Times New Roman" w:cs="Times New Roman"/>
          <w:b/>
          <w:bCs/>
          <w:iCs/>
        </w:rPr>
        <w:t>Prill</w:t>
      </w:r>
      <w:proofErr w:type="spellEnd"/>
      <w:r w:rsidR="00B8475B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="006D2CB2" w:rsidRPr="009468C7">
        <w:rPr>
          <w:rFonts w:ascii="Times New Roman" w:eastAsia="Times New Roman" w:hAnsi="Times New Roman" w:cs="Times New Roman"/>
          <w:b/>
          <w:bCs/>
          <w:iCs/>
        </w:rPr>
        <w:t>202</w:t>
      </w:r>
      <w:r w:rsidR="00B8475B">
        <w:rPr>
          <w:rFonts w:ascii="Times New Roman" w:eastAsia="Times New Roman" w:hAnsi="Times New Roman" w:cs="Times New Roman"/>
          <w:b/>
          <w:bCs/>
          <w:iCs/>
        </w:rPr>
        <w:t>6</w:t>
      </w:r>
      <w:r w:rsidR="00A86D80" w:rsidRPr="009468C7">
        <w:rPr>
          <w:rFonts w:ascii="Times New Roman" w:eastAsia="Times New Roman" w:hAnsi="Times New Roman" w:cs="Times New Roman"/>
          <w:b/>
          <w:bCs/>
          <w:iCs/>
        </w:rPr>
        <w:t xml:space="preserve">, </w:t>
      </w:r>
      <w:proofErr w:type="spellStart"/>
      <w:r w:rsidR="00A86D80" w:rsidRPr="009468C7">
        <w:rPr>
          <w:rFonts w:ascii="Times New Roman" w:eastAsia="Times New Roman" w:hAnsi="Times New Roman" w:cs="Times New Roman"/>
          <w:b/>
          <w:bCs/>
          <w:iCs/>
        </w:rPr>
        <w:t>ora</w:t>
      </w:r>
      <w:proofErr w:type="spellEnd"/>
      <w:r w:rsidR="00A86D80" w:rsidRPr="009468C7">
        <w:rPr>
          <w:rFonts w:ascii="Times New Roman" w:eastAsia="Times New Roman" w:hAnsi="Times New Roman" w:cs="Times New Roman"/>
          <w:b/>
          <w:bCs/>
          <w:iCs/>
        </w:rPr>
        <w:t xml:space="preserve"> 12.00</w:t>
      </w:r>
    </w:p>
    <w:p w14:paraId="1FAD95B7" w14:textId="77777777" w:rsidR="009306ED" w:rsidRPr="009468C7" w:rsidRDefault="009306ED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63FD70" w14:textId="77777777" w:rsidR="00393789" w:rsidRPr="009468C7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468C7">
        <w:rPr>
          <w:rFonts w:ascii="Times New Roman" w:eastAsia="Times New Roman" w:hAnsi="Times New Roman" w:cs="Times New Roman"/>
        </w:rPr>
        <w:t>A</w:t>
      </w:r>
      <w:r w:rsidR="006E01AD" w:rsidRPr="009468C7">
        <w:rPr>
          <w:rFonts w:ascii="Times New Roman" w:eastAsia="Times New Roman" w:hAnsi="Times New Roman" w:cs="Times New Roman"/>
        </w:rPr>
        <w:t>plikimi</w:t>
      </w:r>
      <w:proofErr w:type="spellEnd"/>
      <w:r w:rsidR="006E01AD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kryhet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pran</w:t>
      </w:r>
      <w:r w:rsidR="00C54E5A" w:rsidRPr="009468C7">
        <w:rPr>
          <w:rFonts w:ascii="Times New Roman" w:eastAsia="Times New Roman" w:hAnsi="Times New Roman" w:cs="Times New Roman"/>
        </w:rPr>
        <w:t>ë</w:t>
      </w:r>
      <w:proofErr w:type="spellEnd"/>
      <w:r w:rsidR="007F7CC8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9468C7">
        <w:rPr>
          <w:rFonts w:ascii="Times New Roman" w:eastAsia="Times New Roman" w:hAnsi="Times New Roman" w:cs="Times New Roman"/>
        </w:rPr>
        <w:t>Drejtorisë</w:t>
      </w:r>
      <w:proofErr w:type="spellEnd"/>
      <w:r w:rsidR="00393789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9468C7">
        <w:rPr>
          <w:rFonts w:ascii="Times New Roman" w:eastAsia="Times New Roman" w:hAnsi="Times New Roman" w:cs="Times New Roman"/>
        </w:rPr>
        <w:t>së</w:t>
      </w:r>
      <w:proofErr w:type="spellEnd"/>
      <w:r w:rsidR="00393789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9468C7">
        <w:rPr>
          <w:rFonts w:ascii="Times New Roman" w:eastAsia="Times New Roman" w:hAnsi="Times New Roman" w:cs="Times New Roman"/>
        </w:rPr>
        <w:t>Komunikimit</w:t>
      </w:r>
      <w:proofErr w:type="spellEnd"/>
      <w:r w:rsidR="00393789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9468C7">
        <w:rPr>
          <w:rFonts w:ascii="Times New Roman" w:eastAsia="Times New Roman" w:hAnsi="Times New Roman" w:cs="Times New Roman"/>
        </w:rPr>
        <w:t>dhe</w:t>
      </w:r>
      <w:proofErr w:type="spellEnd"/>
      <w:r w:rsidR="00393789"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3789" w:rsidRPr="009468C7">
        <w:rPr>
          <w:rFonts w:ascii="Times New Roman" w:eastAsia="Times New Roman" w:hAnsi="Times New Roman" w:cs="Times New Roman"/>
        </w:rPr>
        <w:t>Koordinimit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</w:t>
      </w:r>
      <w:r w:rsidR="00C54E5A" w:rsidRPr="009468C7">
        <w:rPr>
          <w:rFonts w:ascii="Times New Roman" w:eastAsia="Times New Roman" w:hAnsi="Times New Roman" w:cs="Times New Roman"/>
        </w:rPr>
        <w:t>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UPT</w:t>
      </w:r>
      <w:proofErr w:type="spellEnd"/>
      <w:r w:rsidRPr="009468C7">
        <w:rPr>
          <w:rFonts w:ascii="Times New Roman" w:eastAsia="Times New Roman" w:hAnsi="Times New Roman" w:cs="Times New Roman"/>
        </w:rPr>
        <w:t>.</w:t>
      </w:r>
      <w:r w:rsidR="00551BD4" w:rsidRPr="009468C7">
        <w:rPr>
          <w:rFonts w:ascii="Times New Roman" w:eastAsia="Times New Roman" w:hAnsi="Times New Roman" w:cs="Times New Roman"/>
        </w:rPr>
        <w:t xml:space="preserve"> </w:t>
      </w:r>
    </w:p>
    <w:p w14:paraId="0DBF6DBD" w14:textId="77777777" w:rsidR="000968EC" w:rsidRPr="009468C7" w:rsidRDefault="000968EC" w:rsidP="001377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1553EA2" w14:textId="1F173F84" w:rsidR="006E01AD" w:rsidRPr="009468C7" w:rsidRDefault="00551BD4" w:rsidP="0013779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9468C7">
        <w:rPr>
          <w:rFonts w:ascii="Times New Roman" w:eastAsia="Times New Roman" w:hAnsi="Times New Roman" w:cs="Times New Roman"/>
        </w:rPr>
        <w:t>P</w:t>
      </w:r>
      <w:r w:rsidR="00C54E5A" w:rsidRPr="009468C7">
        <w:rPr>
          <w:rFonts w:ascii="Times New Roman" w:eastAsia="Times New Roman" w:hAnsi="Times New Roman" w:cs="Times New Roman"/>
        </w:rPr>
        <w:t>ë</w:t>
      </w:r>
      <w:r w:rsidRPr="009468C7">
        <w:rPr>
          <w:rFonts w:ascii="Times New Roman" w:eastAsia="Times New Roman" w:hAnsi="Times New Roman" w:cs="Times New Roman"/>
        </w:rPr>
        <w:t>r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informacione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shtes</w:t>
      </w:r>
      <w:r w:rsidR="00C54E5A" w:rsidRPr="009468C7">
        <w:rPr>
          <w:rFonts w:ascii="Times New Roman" w:eastAsia="Times New Roman" w:hAnsi="Times New Roman" w:cs="Times New Roman"/>
        </w:rPr>
        <w:t>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</w:t>
      </w:r>
      <w:r w:rsidR="00C54E5A" w:rsidRPr="009468C7">
        <w:rPr>
          <w:rFonts w:ascii="Times New Roman" w:eastAsia="Times New Roman" w:hAnsi="Times New Roman" w:cs="Times New Roman"/>
        </w:rPr>
        <w:t>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lidhje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9468C7">
        <w:rPr>
          <w:rFonts w:ascii="Times New Roman" w:eastAsia="Times New Roman" w:hAnsi="Times New Roman" w:cs="Times New Roman"/>
        </w:rPr>
        <w:t>procesin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9468C7">
        <w:rPr>
          <w:rFonts w:ascii="Times New Roman" w:eastAsia="Times New Roman" w:hAnsi="Times New Roman" w:cs="Times New Roman"/>
        </w:rPr>
        <w:t>aplikimit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n</w:t>
      </w:r>
      <w:r w:rsidR="00C54E5A" w:rsidRPr="009468C7">
        <w:rPr>
          <w:rFonts w:ascii="Times New Roman" w:eastAsia="Times New Roman" w:hAnsi="Times New Roman" w:cs="Times New Roman"/>
        </w:rPr>
        <w:t>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UPT</w:t>
      </w:r>
      <w:proofErr w:type="spellEnd"/>
      <w:r w:rsidR="000968EC" w:rsidRPr="009468C7">
        <w:rPr>
          <w:rFonts w:ascii="Times New Roman" w:eastAsia="Times New Roman" w:hAnsi="Times New Roman" w:cs="Times New Roman"/>
        </w:rPr>
        <w:t>,</w:t>
      </w:r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mund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eastAsia="Times New Roman" w:hAnsi="Times New Roman" w:cs="Times New Roman"/>
        </w:rPr>
        <w:t>t</w:t>
      </w:r>
      <w:r w:rsidR="00C54E5A" w:rsidRPr="009468C7">
        <w:rPr>
          <w:rFonts w:ascii="Times New Roman" w:eastAsia="Times New Roman" w:hAnsi="Times New Roman" w:cs="Times New Roman"/>
        </w:rPr>
        <w:t>ë</w:t>
      </w:r>
      <w:proofErr w:type="spellEnd"/>
      <w:r w:rsidRPr="009468C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468C7">
        <w:rPr>
          <w:rFonts w:ascii="Times New Roman" w:hAnsi="Times New Roman" w:cs="Times New Roman"/>
          <w:lang w:val="en-GB"/>
        </w:rPr>
        <w:t>kontaktoni</w:t>
      </w:r>
      <w:proofErr w:type="spellEnd"/>
      <w:r w:rsidRPr="009468C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468C7">
        <w:rPr>
          <w:rFonts w:ascii="Times New Roman" w:hAnsi="Times New Roman" w:cs="Times New Roman"/>
          <w:lang w:val="en-GB"/>
        </w:rPr>
        <w:t>n</w:t>
      </w:r>
      <w:r w:rsidR="00C54E5A" w:rsidRPr="009468C7">
        <w:rPr>
          <w:rFonts w:ascii="Times New Roman" w:hAnsi="Times New Roman" w:cs="Times New Roman"/>
          <w:lang w:val="en-GB"/>
        </w:rPr>
        <w:t>ë</w:t>
      </w:r>
      <w:proofErr w:type="spellEnd"/>
      <w:r w:rsidRPr="009468C7">
        <w:rPr>
          <w:rFonts w:ascii="Times New Roman" w:hAnsi="Times New Roman" w:cs="Times New Roman"/>
          <w:lang w:val="en-GB"/>
        </w:rPr>
        <w:t xml:space="preserve"> e</w:t>
      </w:r>
      <w:r w:rsidR="000968EC" w:rsidRPr="009468C7">
        <w:rPr>
          <w:rFonts w:ascii="Times New Roman" w:hAnsi="Times New Roman" w:cs="Times New Roman"/>
          <w:lang w:val="en-GB"/>
        </w:rPr>
        <w:t>-</w:t>
      </w:r>
      <w:r w:rsidRPr="009468C7">
        <w:rPr>
          <w:rFonts w:ascii="Times New Roman" w:hAnsi="Times New Roman" w:cs="Times New Roman"/>
          <w:lang w:val="en-GB"/>
        </w:rPr>
        <w:t>mail:</w:t>
      </w:r>
      <w:r w:rsidR="00377FDD" w:rsidRPr="009468C7">
        <w:rPr>
          <w:rFonts w:ascii="Times New Roman" w:hAnsi="Times New Roman" w:cs="Times New Roman"/>
          <w:lang w:val="en-GB"/>
        </w:rPr>
        <w:t xml:space="preserve"> </w:t>
      </w:r>
      <w:hyperlink r:id="rId10" w:history="1">
        <w:proofErr w:type="spellStart"/>
        <w:r w:rsidR="00946F85" w:rsidRPr="009468C7">
          <w:rPr>
            <w:rStyle w:val="Hyperlink"/>
            <w:rFonts w:ascii="Times New Roman" w:hAnsi="Times New Roman" w:cs="Times New Roman"/>
            <w:u w:val="none"/>
            <w:lang w:val="en-GB"/>
          </w:rPr>
          <w:t>abeqo@upt.al</w:t>
        </w:r>
        <w:proofErr w:type="spellEnd"/>
      </w:hyperlink>
      <w:r w:rsidR="00946F85" w:rsidRPr="009468C7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r w:rsidR="00946F85" w:rsidRPr="009468C7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>,</w:t>
      </w:r>
      <w:r w:rsidR="00946F85" w:rsidRPr="009468C7">
        <w:rPr>
          <w:rStyle w:val="Hyperlink"/>
          <w:rFonts w:ascii="Times New Roman" w:hAnsi="Times New Roman" w:cs="Times New Roman"/>
          <w:u w:val="none"/>
          <w:lang w:val="en-GB"/>
        </w:rPr>
        <w:t xml:space="preserve"> </w:t>
      </w:r>
      <w:hyperlink r:id="rId11" w:history="1">
        <w:proofErr w:type="spellStart"/>
        <w:r w:rsidR="00946F85" w:rsidRPr="009468C7">
          <w:rPr>
            <w:rStyle w:val="Hyperlink"/>
            <w:rFonts w:ascii="Times New Roman" w:hAnsi="Times New Roman" w:cs="Times New Roman"/>
            <w:u w:val="none"/>
            <w:lang w:val="en-GB"/>
          </w:rPr>
          <w:t>rkodra@upt.al</w:t>
        </w:r>
        <w:proofErr w:type="spellEnd"/>
      </w:hyperlink>
      <w:r w:rsidR="00D757D5" w:rsidRPr="009468C7">
        <w:rPr>
          <w:rStyle w:val="Hyperlink"/>
          <w:rFonts w:ascii="Times New Roman" w:hAnsi="Times New Roman" w:cs="Times New Roman"/>
          <w:u w:val="none"/>
          <w:lang w:val="en-GB"/>
        </w:rPr>
        <w:t xml:space="preserve"> , </w:t>
      </w:r>
      <w:hyperlink r:id="rId12" w:history="1">
        <w:proofErr w:type="spellStart"/>
        <w:r w:rsidR="00D757D5" w:rsidRPr="009468C7">
          <w:rPr>
            <w:rStyle w:val="Hyperlink"/>
            <w:rFonts w:ascii="Times New Roman" w:hAnsi="Times New Roman" w:cs="Times New Roman"/>
            <w:u w:val="none"/>
            <w:shd w:val="clear" w:color="auto" w:fill="FFFFFF"/>
          </w:rPr>
          <w:t>smaraj@fti.edu.al</w:t>
        </w:r>
        <w:proofErr w:type="spellEnd"/>
      </w:hyperlink>
    </w:p>
    <w:p w14:paraId="2C1DCAEF" w14:textId="77777777" w:rsidR="00D757D5" w:rsidRPr="009468C7" w:rsidRDefault="00D757D5" w:rsidP="00137790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9317572" w14:textId="77777777" w:rsidR="00393789" w:rsidRDefault="00393789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50ACB0" w14:textId="77777777" w:rsidR="009E3F11" w:rsidRPr="009E3F11" w:rsidRDefault="009E3F11" w:rsidP="00137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E3F11" w:rsidRPr="009E3F11" w:rsidSect="00F700B6">
      <w:headerReference w:type="default" r:id="rId13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EF19E" w14:textId="77777777" w:rsidR="00136AAC" w:rsidRDefault="00136AAC" w:rsidP="0070301F">
      <w:pPr>
        <w:spacing w:after="0" w:line="240" w:lineRule="auto"/>
      </w:pPr>
      <w:r>
        <w:separator/>
      </w:r>
    </w:p>
  </w:endnote>
  <w:endnote w:type="continuationSeparator" w:id="0">
    <w:p w14:paraId="3AF1189D" w14:textId="77777777" w:rsidR="00136AAC" w:rsidRDefault="00136AAC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034E5" w14:textId="77777777" w:rsidR="00136AAC" w:rsidRDefault="00136AAC" w:rsidP="0070301F">
      <w:pPr>
        <w:spacing w:after="0" w:line="240" w:lineRule="auto"/>
      </w:pPr>
      <w:r>
        <w:separator/>
      </w:r>
    </w:p>
  </w:footnote>
  <w:footnote w:type="continuationSeparator" w:id="0">
    <w:p w14:paraId="02AB43AF" w14:textId="77777777" w:rsidR="00136AAC" w:rsidRDefault="00136AAC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23724"/>
    <w:multiLevelType w:val="hybridMultilevel"/>
    <w:tmpl w:val="961C5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4F"/>
    <w:multiLevelType w:val="hybridMultilevel"/>
    <w:tmpl w:val="CE12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14"/>
  </w:num>
  <w:num w:numId="5">
    <w:abstractNumId w:val="9"/>
  </w:num>
  <w:num w:numId="6">
    <w:abstractNumId w:val="2"/>
  </w:num>
  <w:num w:numId="7">
    <w:abstractNumId w:val="15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  <w:num w:numId="13">
    <w:abstractNumId w:val="8"/>
  </w:num>
  <w:num w:numId="14">
    <w:abstractNumId w:val="10"/>
  </w:num>
  <w:num w:numId="15">
    <w:abstractNumId w:val="0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AD"/>
    <w:rsid w:val="000061F1"/>
    <w:rsid w:val="00014183"/>
    <w:rsid w:val="00017E20"/>
    <w:rsid w:val="00043314"/>
    <w:rsid w:val="000968EC"/>
    <w:rsid w:val="000C3003"/>
    <w:rsid w:val="000C3CEA"/>
    <w:rsid w:val="000C68C0"/>
    <w:rsid w:val="000E416E"/>
    <w:rsid w:val="000F263F"/>
    <w:rsid w:val="00110146"/>
    <w:rsid w:val="0011750D"/>
    <w:rsid w:val="00136AAC"/>
    <w:rsid w:val="00137790"/>
    <w:rsid w:val="001D56C7"/>
    <w:rsid w:val="001E1301"/>
    <w:rsid w:val="001F2281"/>
    <w:rsid w:val="001F4B10"/>
    <w:rsid w:val="00203A57"/>
    <w:rsid w:val="00207F3A"/>
    <w:rsid w:val="00211D11"/>
    <w:rsid w:val="00233AF3"/>
    <w:rsid w:val="00234CF9"/>
    <w:rsid w:val="00260537"/>
    <w:rsid w:val="002A641D"/>
    <w:rsid w:val="002B3A80"/>
    <w:rsid w:val="002B43F7"/>
    <w:rsid w:val="002E56F2"/>
    <w:rsid w:val="003028EF"/>
    <w:rsid w:val="00302C0F"/>
    <w:rsid w:val="0031361D"/>
    <w:rsid w:val="003173E5"/>
    <w:rsid w:val="00322294"/>
    <w:rsid w:val="003554F5"/>
    <w:rsid w:val="00377FDD"/>
    <w:rsid w:val="00393789"/>
    <w:rsid w:val="003A58C0"/>
    <w:rsid w:val="003C3987"/>
    <w:rsid w:val="003F3BAD"/>
    <w:rsid w:val="00401218"/>
    <w:rsid w:val="00415670"/>
    <w:rsid w:val="00430A2D"/>
    <w:rsid w:val="00442793"/>
    <w:rsid w:val="0044313D"/>
    <w:rsid w:val="00451CA9"/>
    <w:rsid w:val="00473E4B"/>
    <w:rsid w:val="00475851"/>
    <w:rsid w:val="004763E4"/>
    <w:rsid w:val="0048189E"/>
    <w:rsid w:val="004900FF"/>
    <w:rsid w:val="004B5A20"/>
    <w:rsid w:val="004F0271"/>
    <w:rsid w:val="005172E1"/>
    <w:rsid w:val="005407FD"/>
    <w:rsid w:val="00544396"/>
    <w:rsid w:val="00551BD4"/>
    <w:rsid w:val="0056308E"/>
    <w:rsid w:val="00567502"/>
    <w:rsid w:val="00577E2F"/>
    <w:rsid w:val="00584290"/>
    <w:rsid w:val="00584DF9"/>
    <w:rsid w:val="00591D29"/>
    <w:rsid w:val="005A1C10"/>
    <w:rsid w:val="005B3F8F"/>
    <w:rsid w:val="00614A62"/>
    <w:rsid w:val="006220AD"/>
    <w:rsid w:val="00644D07"/>
    <w:rsid w:val="00670C0F"/>
    <w:rsid w:val="00674BC4"/>
    <w:rsid w:val="00677455"/>
    <w:rsid w:val="00693E9D"/>
    <w:rsid w:val="006C77A3"/>
    <w:rsid w:val="006D2CB2"/>
    <w:rsid w:val="006E01AD"/>
    <w:rsid w:val="006F0E2D"/>
    <w:rsid w:val="0070301F"/>
    <w:rsid w:val="007052DD"/>
    <w:rsid w:val="007074BD"/>
    <w:rsid w:val="0073340A"/>
    <w:rsid w:val="00777760"/>
    <w:rsid w:val="00797EFF"/>
    <w:rsid w:val="007D012D"/>
    <w:rsid w:val="007D3CA7"/>
    <w:rsid w:val="007F0139"/>
    <w:rsid w:val="007F7CC8"/>
    <w:rsid w:val="00820D2E"/>
    <w:rsid w:val="00862315"/>
    <w:rsid w:val="008B1C6D"/>
    <w:rsid w:val="008B4671"/>
    <w:rsid w:val="008E6281"/>
    <w:rsid w:val="0090713F"/>
    <w:rsid w:val="009306ED"/>
    <w:rsid w:val="00937B0B"/>
    <w:rsid w:val="009468C7"/>
    <w:rsid w:val="00946F85"/>
    <w:rsid w:val="0097132F"/>
    <w:rsid w:val="009759B5"/>
    <w:rsid w:val="009A6D44"/>
    <w:rsid w:val="009E3F11"/>
    <w:rsid w:val="00A132FA"/>
    <w:rsid w:val="00A42BDE"/>
    <w:rsid w:val="00A45D3E"/>
    <w:rsid w:val="00A8353C"/>
    <w:rsid w:val="00A86D80"/>
    <w:rsid w:val="00A959DB"/>
    <w:rsid w:val="00AC08D8"/>
    <w:rsid w:val="00AF2034"/>
    <w:rsid w:val="00B55663"/>
    <w:rsid w:val="00B57547"/>
    <w:rsid w:val="00B8475B"/>
    <w:rsid w:val="00BC4E3C"/>
    <w:rsid w:val="00BE6E57"/>
    <w:rsid w:val="00C222A0"/>
    <w:rsid w:val="00C25C16"/>
    <w:rsid w:val="00C373AC"/>
    <w:rsid w:val="00C5332D"/>
    <w:rsid w:val="00C54E5A"/>
    <w:rsid w:val="00C60420"/>
    <w:rsid w:val="00C93A03"/>
    <w:rsid w:val="00CC18D5"/>
    <w:rsid w:val="00CC3D36"/>
    <w:rsid w:val="00CE7A2F"/>
    <w:rsid w:val="00CF0453"/>
    <w:rsid w:val="00CF6AFF"/>
    <w:rsid w:val="00CF6BB5"/>
    <w:rsid w:val="00D01B5D"/>
    <w:rsid w:val="00D25FEE"/>
    <w:rsid w:val="00D4729C"/>
    <w:rsid w:val="00D6007C"/>
    <w:rsid w:val="00D64835"/>
    <w:rsid w:val="00D67871"/>
    <w:rsid w:val="00D754C8"/>
    <w:rsid w:val="00D757D5"/>
    <w:rsid w:val="00D90E3E"/>
    <w:rsid w:val="00DF4625"/>
    <w:rsid w:val="00E046B6"/>
    <w:rsid w:val="00E56C00"/>
    <w:rsid w:val="00E870EA"/>
    <w:rsid w:val="00E90DEA"/>
    <w:rsid w:val="00EA1E71"/>
    <w:rsid w:val="00EA6015"/>
    <w:rsid w:val="00EE0AA6"/>
    <w:rsid w:val="00F17063"/>
    <w:rsid w:val="00F700B6"/>
    <w:rsid w:val="00F767B2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34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erasmus-plus.ec.europa.eu%2Fsites%2Fdefault%2Ffiles%2F2023-06%2Fonline-learning-agreement-studies-ka171-2023_en.docx&amp;wdOrigin=BROWSELIN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du.se/en/malardalen-university" TargetMode="External"/><Relationship Id="rId12" Type="http://schemas.openxmlformats.org/officeDocument/2006/relationships/hyperlink" Target="mailto:smaraj@fti.edu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kodra@upt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beqo@upt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h.se/en/malardalen-university/education/find-educati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C.R.C</cp:lastModifiedBy>
  <cp:revision>2</cp:revision>
  <dcterms:created xsi:type="dcterms:W3CDTF">2026-03-03T08:12:00Z</dcterms:created>
  <dcterms:modified xsi:type="dcterms:W3CDTF">2026-03-03T08:12:00Z</dcterms:modified>
</cp:coreProperties>
</file>