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:rsidR="00C75058" w:rsidRDefault="00C75058"/>
    <w:p w:rsidR="000E0539" w:rsidRDefault="000E0539"/>
    <w:tbl>
      <w:tblPr>
        <w:tblStyle w:val="TableGrid"/>
        <w:tblW w:w="9871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715"/>
        <w:gridCol w:w="1394"/>
        <w:gridCol w:w="2409"/>
        <w:gridCol w:w="1488"/>
        <w:gridCol w:w="1017"/>
      </w:tblGrid>
      <w:tr w:rsidR="005E4EA0" w:rsidRPr="00A36EBE" w:rsidTr="002E20DF">
        <w:trPr>
          <w:trHeight w:val="546"/>
        </w:trPr>
        <w:tc>
          <w:tcPr>
            <w:tcW w:w="704" w:type="dxa"/>
            <w:shd w:val="clear" w:color="auto" w:fill="9CC2E5" w:themeFill="accent1" w:themeFillTint="99"/>
          </w:tcPr>
          <w:p w:rsidR="0043268E" w:rsidRPr="00A36EBE" w:rsidRDefault="0043268E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="00B45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8D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44" w:type="dxa"/>
            <w:shd w:val="clear" w:color="auto" w:fill="9CC2E5" w:themeFill="accent1" w:themeFillTint="99"/>
          </w:tcPr>
          <w:p w:rsidR="00B45E29" w:rsidRPr="00227DB2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="00C417B2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15" w:type="dxa"/>
            <w:shd w:val="clear" w:color="auto" w:fill="9CC2E5" w:themeFill="accent1" w:themeFillTint="99"/>
          </w:tcPr>
          <w:p w:rsidR="0043268E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="00F276FA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B45E29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E29" w:rsidRPr="00A36EBE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9CC2E5" w:themeFill="accent1" w:themeFillTint="99"/>
          </w:tcPr>
          <w:p w:rsidR="00B45E29" w:rsidRPr="00227DB2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="00F276FA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B45E29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="00F276FA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B45E29" w:rsidRPr="00A36EBE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9CC2E5" w:themeFill="accent1" w:themeFillTint="99"/>
          </w:tcPr>
          <w:p w:rsidR="00B45E29" w:rsidRPr="00227DB2" w:rsidRDefault="00302D5F" w:rsidP="0095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3906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="00DF38D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017" w:type="dxa"/>
            <w:shd w:val="clear" w:color="auto" w:fill="9CC2E5" w:themeFill="accent1" w:themeFillTint="99"/>
          </w:tcPr>
          <w:p w:rsidR="0043268E" w:rsidRDefault="00B154B0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proofErr w:type="spellEnd"/>
            <w:r w:rsidR="00DF38D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B45E29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E29" w:rsidRPr="00A36EBE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A0" w:rsidTr="002E20DF">
        <w:trPr>
          <w:trHeight w:val="348"/>
        </w:trPr>
        <w:tc>
          <w:tcPr>
            <w:tcW w:w="704" w:type="dxa"/>
          </w:tcPr>
          <w:p w:rsidR="0043268E" w:rsidRDefault="006B7956">
            <w:r>
              <w:t>1</w:t>
            </w:r>
          </w:p>
        </w:tc>
        <w:tc>
          <w:tcPr>
            <w:tcW w:w="1144" w:type="dxa"/>
          </w:tcPr>
          <w:p w:rsidR="0043268E" w:rsidRPr="002E20DF" w:rsidRDefault="004A4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1715" w:type="dxa"/>
          </w:tcPr>
          <w:p w:rsidR="0043268E" w:rsidRDefault="006B7956" w:rsidP="004A4E7C"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Kërkesë për informacion lidhur me </w:t>
            </w:r>
            <w:r w:rsidR="004A4E7C">
              <w:rPr>
                <w:rFonts w:ascii="Times New Roman" w:hAnsi="Times New Roman"/>
                <w:sz w:val="24"/>
                <w:szCs w:val="24"/>
                <w:lang w:val="de-DE"/>
              </w:rPr>
              <w:t>kryerjen e studimeve nga IGJEO</w:t>
            </w:r>
          </w:p>
        </w:tc>
        <w:tc>
          <w:tcPr>
            <w:tcW w:w="1394" w:type="dxa"/>
          </w:tcPr>
          <w:p w:rsidR="0043268E" w:rsidRDefault="004A4E7C">
            <w:r>
              <w:rPr>
                <w:rFonts w:ascii="Times New Roman" w:hAnsi="Times New Roman"/>
                <w:sz w:val="24"/>
                <w:szCs w:val="24"/>
                <w:lang w:val="de-DE"/>
              </w:rPr>
              <w:t>27.01.2023</w:t>
            </w:r>
          </w:p>
        </w:tc>
        <w:tc>
          <w:tcPr>
            <w:tcW w:w="2409" w:type="dxa"/>
          </w:tcPr>
          <w:p w:rsidR="0043268E" w:rsidRDefault="00E40B75" w:rsidP="00E40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hyrje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Igjeo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nr. 45,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26.01.2023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bëjmë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IGJ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kryen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studime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meteorologjik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hidrologjik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gjeologjik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sizmologjik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planin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kombëtar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kërkesave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realizohen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studime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detajuara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rregulloreve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ligjeve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fuqi</w:t>
            </w:r>
            <w:proofErr w:type="spellEnd"/>
            <w:r w:rsidR="00191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2E7" w:rsidRPr="004572FE" w:rsidRDefault="001912E7" w:rsidP="00E40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kërkuara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specifike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afatshkurtra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kryhen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8" w:type="dxa"/>
          </w:tcPr>
          <w:p w:rsidR="0043268E" w:rsidRPr="004572FE" w:rsidRDefault="00CE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FE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4572FE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  <w:p w:rsidR="00CE4D31" w:rsidRPr="004572FE" w:rsidRDefault="00CE4D31" w:rsidP="00F171AC">
            <w:pPr>
              <w:rPr>
                <w:sz w:val="24"/>
                <w:szCs w:val="24"/>
              </w:rPr>
            </w:pPr>
            <w:r w:rsidRPr="004572FE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="00F171AC">
              <w:rPr>
                <w:rFonts w:ascii="Times New Roman" w:hAnsi="Times New Roman" w:cs="Times New Roman"/>
                <w:sz w:val="24"/>
                <w:szCs w:val="24"/>
              </w:rPr>
              <w:t>shkrese</w:t>
            </w:r>
            <w:proofErr w:type="spellEnd"/>
          </w:p>
        </w:tc>
        <w:tc>
          <w:tcPr>
            <w:tcW w:w="1017" w:type="dxa"/>
          </w:tcPr>
          <w:p w:rsidR="0043268E" w:rsidRPr="002E20DF" w:rsidRDefault="002E2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DF">
              <w:rPr>
                <w:rFonts w:ascii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 w:rsidRPr="002E20DF">
              <w:rPr>
                <w:rFonts w:ascii="Times New Roman" w:hAnsi="Times New Roman" w:cs="Times New Roman"/>
                <w:sz w:val="24"/>
                <w:szCs w:val="24"/>
              </w:rPr>
              <w:t>pagesë</w:t>
            </w:r>
            <w:proofErr w:type="spellEnd"/>
          </w:p>
        </w:tc>
      </w:tr>
      <w:tr w:rsidR="009C6073" w:rsidTr="002E20DF">
        <w:trPr>
          <w:trHeight w:val="348"/>
        </w:trPr>
        <w:tc>
          <w:tcPr>
            <w:tcW w:w="704" w:type="dxa"/>
          </w:tcPr>
          <w:p w:rsidR="009C6073" w:rsidRDefault="009C6073">
            <w:r>
              <w:lastRenderedPageBreak/>
              <w:t>2</w:t>
            </w:r>
          </w:p>
        </w:tc>
        <w:tc>
          <w:tcPr>
            <w:tcW w:w="1144" w:type="dxa"/>
          </w:tcPr>
          <w:p w:rsidR="009C6073" w:rsidRDefault="009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715" w:type="dxa"/>
          </w:tcPr>
          <w:p w:rsidR="009C6073" w:rsidRDefault="009C6073" w:rsidP="004A4E7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vënie në dispozicion të listës së targave në pronësi të institucionit</w:t>
            </w:r>
          </w:p>
        </w:tc>
        <w:tc>
          <w:tcPr>
            <w:tcW w:w="1394" w:type="dxa"/>
          </w:tcPr>
          <w:p w:rsidR="009C6073" w:rsidRDefault="00FA410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23.03.2023</w:t>
            </w:r>
          </w:p>
        </w:tc>
        <w:tc>
          <w:tcPr>
            <w:tcW w:w="2409" w:type="dxa"/>
          </w:tcPr>
          <w:p w:rsidR="00EF7F4B" w:rsidRPr="00EF7F4B" w:rsidRDefault="00EF7F4B" w:rsidP="00EF7F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Aktualisht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Universiteti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Politeknik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Tiranes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pronesi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automjete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funksionale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poshte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</w:t>
            </w:r>
          </w:p>
          <w:p w:rsidR="00EF7F4B" w:rsidRPr="00EF7F4B" w:rsidRDefault="00EF7F4B" w:rsidP="00EF7F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:rsidR="00EF7F4B" w:rsidRPr="00EF7F4B" w:rsidRDefault="00EF7F4B" w:rsidP="00EF7F4B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Autoveture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tip Mazda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targe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AA 401 TC;</w:t>
            </w:r>
          </w:p>
          <w:p w:rsidR="00EF7F4B" w:rsidRPr="00EF7F4B" w:rsidRDefault="00EF7F4B" w:rsidP="00EF7F4B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Autoveture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tip Benz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targe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TR 7945 I;</w:t>
            </w:r>
          </w:p>
          <w:p w:rsidR="00EF7F4B" w:rsidRPr="00EF7F4B" w:rsidRDefault="00EF7F4B" w:rsidP="00EF7F4B">
            <w:pPr>
              <w:numPr>
                <w:ilvl w:val="0"/>
                <w:numId w:val="1"/>
              </w:numPr>
              <w:shd w:val="clear" w:color="auto" w:fill="FFFFFF"/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Autoveture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tip Benz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targe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TR 4510 A.</w:t>
            </w:r>
          </w:p>
          <w:p w:rsidR="00EF7F4B" w:rsidRPr="00EF7F4B" w:rsidRDefault="00EF7F4B" w:rsidP="00EF7F4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EF7F4B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br/>
            </w:r>
          </w:p>
          <w:p w:rsidR="00EF7F4B" w:rsidRPr="00EF7F4B" w:rsidRDefault="00EF7F4B" w:rsidP="00EF7F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Gjithashtu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ne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pronesi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institucionit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jane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dhe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3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automjete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tjera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cilat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jane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cregjistruar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nga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DPSHTRR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dhe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jane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hequr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nga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qarkullimi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.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Keto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automjete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jane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ne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proces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per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nxjerrjen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jashte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perdorimi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si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poshte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:</w:t>
            </w:r>
          </w:p>
          <w:p w:rsidR="00EF7F4B" w:rsidRPr="00EF7F4B" w:rsidRDefault="00EF7F4B" w:rsidP="00EF7F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br/>
            </w:r>
          </w:p>
          <w:p w:rsidR="00EF7F4B" w:rsidRPr="00EF7F4B" w:rsidRDefault="00EF7F4B" w:rsidP="00EF7F4B">
            <w:pPr>
              <w:numPr>
                <w:ilvl w:val="0"/>
                <w:numId w:val="2"/>
              </w:num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Autoveture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tip Daimler Chrysler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numer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shasie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: WDD2040081A004944;</w:t>
            </w:r>
          </w:p>
          <w:p w:rsidR="00EF7F4B" w:rsidRPr="00EF7F4B" w:rsidRDefault="00EF7F4B" w:rsidP="00EF7F4B">
            <w:pPr>
              <w:numPr>
                <w:ilvl w:val="0"/>
                <w:numId w:val="2"/>
              </w:num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Autoveture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tip Benz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numer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shasie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: </w:t>
            </w:r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lastRenderedPageBreak/>
              <w:t>WDB1241251B055487;</w:t>
            </w:r>
          </w:p>
          <w:p w:rsidR="00EF7F4B" w:rsidRPr="00EF7F4B" w:rsidRDefault="00EF7F4B" w:rsidP="00EF7F4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Autoveture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tip Opel me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numer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shasie</w:t>
            </w:r>
            <w:proofErr w:type="spellEnd"/>
            <w:r w:rsidRPr="00EF7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: WOL06BG761V612042.</w:t>
            </w:r>
          </w:p>
          <w:p w:rsidR="00EF7F4B" w:rsidRDefault="00EF7F4B" w:rsidP="009C6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F4B" w:rsidRPr="004572FE" w:rsidRDefault="00EF7F4B" w:rsidP="009C6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9C6073" w:rsidRDefault="009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  <w:p w:rsidR="009C6073" w:rsidRPr="004572FE" w:rsidRDefault="009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e-mail</w:t>
            </w:r>
          </w:p>
        </w:tc>
        <w:tc>
          <w:tcPr>
            <w:tcW w:w="1017" w:type="dxa"/>
          </w:tcPr>
          <w:p w:rsidR="009C6073" w:rsidRPr="002E20DF" w:rsidRDefault="009C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pagesë</w:t>
            </w:r>
            <w:proofErr w:type="spellEnd"/>
          </w:p>
        </w:tc>
      </w:tr>
      <w:tr w:rsidR="0033312E" w:rsidTr="002E20DF">
        <w:trPr>
          <w:trHeight w:val="348"/>
        </w:trPr>
        <w:tc>
          <w:tcPr>
            <w:tcW w:w="704" w:type="dxa"/>
          </w:tcPr>
          <w:p w:rsidR="0033312E" w:rsidRDefault="0033312E">
            <w:r>
              <w:lastRenderedPageBreak/>
              <w:t>3</w:t>
            </w:r>
          </w:p>
        </w:tc>
        <w:tc>
          <w:tcPr>
            <w:tcW w:w="1144" w:type="dxa"/>
          </w:tcPr>
          <w:p w:rsidR="0033312E" w:rsidRDefault="003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715" w:type="dxa"/>
          </w:tcPr>
          <w:p w:rsidR="0033312E" w:rsidRDefault="0033312E" w:rsidP="004A4E7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Kërkesë për informacion </w:t>
            </w:r>
          </w:p>
        </w:tc>
        <w:tc>
          <w:tcPr>
            <w:tcW w:w="1394" w:type="dxa"/>
          </w:tcPr>
          <w:p w:rsidR="0033312E" w:rsidRDefault="0033312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06.06.2023</w:t>
            </w:r>
          </w:p>
        </w:tc>
        <w:tc>
          <w:tcPr>
            <w:tcW w:w="2409" w:type="dxa"/>
          </w:tcPr>
          <w:p w:rsidR="0033312E" w:rsidRPr="0033312E" w:rsidRDefault="0033312E" w:rsidP="003331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Lidhur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pikën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sqarojmë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Universiteti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Politeknik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Tiranës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miratuar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rregulloren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hetimin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admini</w:t>
            </w:r>
            <w:bookmarkStart w:id="0" w:name="_GoBack"/>
            <w:bookmarkEnd w:id="0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strativ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sinjalizimit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mbrojtjen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konfidencialitetit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Universitetin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Politeknik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Tiranës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Kreun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“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Ruajtja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konfidencialitetit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dhe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dhënave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personale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parashijohet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detyrimi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 w:rsidRPr="00333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jësisë përgjegjëse për ruajtjen në çdo kohë në mënyrë konfidenciale të informacionit e lidhur me sinjalizimin, si dhe i të dhënave personale të individëve të përfshirë në hetimin administrativ, të cilat përpunohen vetëm në përputhje me parimet dhe procedurat e legjislacionit në fuqi për mbrojtjen e të dhënave personale.</w:t>
            </w:r>
          </w:p>
          <w:p w:rsidR="0033312E" w:rsidRPr="0033312E" w:rsidRDefault="0033312E" w:rsidP="003331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Për sa i përket pikës 2, 3, 4 dhe 5 të kërkesës për informacion, ju bëjmë me dije se pranë Universitetit 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Politeknik të Tiranës, nuk është raportuar asnjë rast i brendshëm apo nuk ka patur asnjë ankesë në kuadër të legjislacionit në fuqi për sinjalizimin dhe mbrojtjen e sinjalizuesve.</w:t>
            </w:r>
          </w:p>
          <w:p w:rsidR="0033312E" w:rsidRPr="0033312E" w:rsidRDefault="0033312E" w:rsidP="003331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Lidhur me pikën 6 dhe 7 të kërkesës, ju informojmë se të dhënat e personave të caktuar pranë 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njësisë përgjegjëse për sinjalizimin dhe mbrojtjen e sinjalizuesve nuk janë të publikuara në faqen zyrtare të web-it të institucionit. Gjithashtu, institucioni nuk ka zhvilluar plane vjetore për vlerësimin e riskut të korrupsionit.</w:t>
            </w:r>
          </w:p>
          <w:p w:rsidR="0033312E" w:rsidRPr="0033312E" w:rsidRDefault="0033312E" w:rsidP="0033312E">
            <w:pPr>
              <w:jc w:val="both"/>
              <w:rPr>
                <w:rFonts w:ascii="Times New Roman" w:eastAsia="Book Antiqua" w:hAnsi="Times New Roman" w:cs="Times New Roman"/>
                <w:sz w:val="24"/>
                <w:szCs w:val="24"/>
                <w:lang w:val="sq-AL"/>
              </w:rPr>
            </w:pP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Në lidhje me pikën 8, ju informojmë se Universiteti Politeknik i Tiranës ka miratuar </w:t>
            </w:r>
            <w:r w:rsidRPr="0033312E">
              <w:rPr>
                <w:rFonts w:ascii="Times New Roman" w:eastAsia="Book Antiqua" w:hAnsi="Times New Roman" w:cs="Times New Roman"/>
                <w:sz w:val="24"/>
                <w:szCs w:val="24"/>
                <w:lang w:val="sq-AL"/>
              </w:rPr>
              <w:t>rregulloren “Për parandalimin e konfliktit të interesave në ushtrimin e funksioneve publike në Universitetin Politeknik të Tiranës”. Bashkëlidhur gjeni një kopje të saj.</w:t>
            </w:r>
          </w:p>
          <w:p w:rsidR="0033312E" w:rsidRPr="0033312E" w:rsidRDefault="0033312E" w:rsidP="003331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Lidhur me pikën e fundit të kërkesës, ju informojmë se 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Universiteti Politeknik i Tiranës nuk ka hartuar dhe miratuar 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rregullore të 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brendshme për pranimin e dhuratave nga palët e treta por zbaton legjislacionin në fuqi dhe konkretisht ligjin nr. 9367, datë 07.04.2005 “Për parandalimin e konfliktit të interesave në ushtrimin e funksioneve publike”, 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 xml:space="preserve">VKM – në nr. 714, datë 22.10.2004 “Për veprimtarinë e jashtme dhe dhënien e dhuratave gjatë veprimtarisë së nëpunësit të administratës publike”; </w:t>
            </w:r>
            <w:r w:rsidRPr="0033312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si dhe rregulloren “Për parandalimin e konfliktit të interesave në ushtrimin e funksioneve publike në Universitetin Politeknik të Tiranës”, neni 17.</w:t>
            </w:r>
          </w:p>
          <w:p w:rsidR="0033312E" w:rsidRPr="00EF7F4B" w:rsidRDefault="0033312E" w:rsidP="00EF7F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88" w:type="dxa"/>
          </w:tcPr>
          <w:p w:rsidR="0033312E" w:rsidRDefault="003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shkresë</w:t>
            </w:r>
            <w:proofErr w:type="spellEnd"/>
          </w:p>
          <w:p w:rsidR="0033312E" w:rsidRDefault="003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017" w:type="dxa"/>
          </w:tcPr>
          <w:p w:rsidR="0033312E" w:rsidRDefault="003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pagesë</w:t>
            </w:r>
            <w:proofErr w:type="spellEnd"/>
          </w:p>
        </w:tc>
      </w:tr>
      <w:tr w:rsidR="0033312E" w:rsidTr="002E20DF">
        <w:trPr>
          <w:trHeight w:val="348"/>
        </w:trPr>
        <w:tc>
          <w:tcPr>
            <w:tcW w:w="704" w:type="dxa"/>
          </w:tcPr>
          <w:p w:rsidR="0033312E" w:rsidRDefault="0033312E">
            <w:r>
              <w:lastRenderedPageBreak/>
              <w:t>4</w:t>
            </w:r>
          </w:p>
        </w:tc>
        <w:tc>
          <w:tcPr>
            <w:tcW w:w="1144" w:type="dxa"/>
          </w:tcPr>
          <w:p w:rsidR="0033312E" w:rsidRDefault="003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715" w:type="dxa"/>
          </w:tcPr>
          <w:p w:rsidR="0033312E" w:rsidRDefault="0033312E" w:rsidP="004A4E7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Kërkesë për sqarime</w:t>
            </w:r>
          </w:p>
        </w:tc>
        <w:tc>
          <w:tcPr>
            <w:tcW w:w="1394" w:type="dxa"/>
          </w:tcPr>
          <w:p w:rsidR="0033312E" w:rsidRDefault="0033312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26.05.2023</w:t>
            </w:r>
          </w:p>
        </w:tc>
        <w:tc>
          <w:tcPr>
            <w:tcW w:w="2409" w:type="dxa"/>
          </w:tcPr>
          <w:p w:rsidR="0033312E" w:rsidRPr="00DE7653" w:rsidRDefault="00DE7653" w:rsidP="00EF7F4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Ne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vijim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kerkeses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suaj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bashkelidhur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programin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perkates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mesimor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lendeve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programit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"Master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Shkencave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ne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Degen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Inxhinieri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Ndertimi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profili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Infrastrukture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Transporti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Fakulteti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Inxhinierise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Ndertimit</w:t>
            </w:r>
            <w:proofErr w:type="spellEnd"/>
            <w:r w:rsidRPr="00DE76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88" w:type="dxa"/>
          </w:tcPr>
          <w:p w:rsidR="0033312E" w:rsidRDefault="003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E-mail</w:t>
            </w:r>
          </w:p>
        </w:tc>
        <w:tc>
          <w:tcPr>
            <w:tcW w:w="1017" w:type="dxa"/>
          </w:tcPr>
          <w:p w:rsidR="0033312E" w:rsidRDefault="0033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pagesë</w:t>
            </w:r>
            <w:proofErr w:type="spellEnd"/>
          </w:p>
        </w:tc>
      </w:tr>
    </w:tbl>
    <w:p w:rsidR="00B45E29" w:rsidRDefault="00B45E29"/>
    <w:p w:rsidR="00B45E29" w:rsidRDefault="00B45E29" w:rsidP="00B45E29">
      <w:pPr>
        <w:rPr>
          <w:rFonts w:ascii="Times New Roman" w:hAnsi="Times New Roman"/>
          <w:sz w:val="24"/>
          <w:szCs w:val="24"/>
          <w:lang w:val="de-DE"/>
        </w:rPr>
      </w:pPr>
    </w:p>
    <w:p w:rsidR="00B45E29" w:rsidRDefault="00B45E29" w:rsidP="00B45E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sectPr w:rsidR="00B45E29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B3" w:rsidRDefault="005767B3" w:rsidP="00C417B2">
      <w:pPr>
        <w:spacing w:after="0" w:line="240" w:lineRule="auto"/>
      </w:pPr>
      <w:r>
        <w:separator/>
      </w:r>
    </w:p>
  </w:endnote>
  <w:endnote w:type="continuationSeparator" w:id="0">
    <w:p w:rsidR="005767B3" w:rsidRDefault="005767B3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B3" w:rsidRDefault="005767B3" w:rsidP="00C417B2">
      <w:pPr>
        <w:spacing w:after="0" w:line="240" w:lineRule="auto"/>
      </w:pPr>
      <w:r>
        <w:separator/>
      </w:r>
    </w:p>
  </w:footnote>
  <w:footnote w:type="continuationSeparator" w:id="0">
    <w:p w:rsidR="005767B3" w:rsidRDefault="005767B3" w:rsidP="00C417B2">
      <w:pPr>
        <w:spacing w:after="0" w:line="240" w:lineRule="auto"/>
      </w:pPr>
      <w:r>
        <w:continuationSeparator/>
      </w:r>
    </w:p>
  </w:footnote>
  <w:footnote w:id="1">
    <w:p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 w:rsidR="0095390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C417B2" w:rsidRPr="00DF38D5" w:rsidRDefault="00C417B2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 w:rsidR="00953906"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sipas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parashikimeve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ligjore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në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830BF9">
        <w:rPr>
          <w:rFonts w:ascii="Times New Roman" w:hAnsi="Times New Roman" w:cs="Times New Roman"/>
        </w:rPr>
        <w:t>Përmbajtja</w:t>
      </w:r>
      <w:proofErr w:type="spellEnd"/>
      <w:r w:rsidR="00830BF9">
        <w:rPr>
          <w:rFonts w:ascii="Times New Roman" w:hAnsi="Times New Roman" w:cs="Times New Roman"/>
        </w:rPr>
        <w:t xml:space="preserve"> e </w:t>
      </w:r>
      <w:proofErr w:type="spellStart"/>
      <w:r w:rsidR="00830BF9">
        <w:rPr>
          <w:rFonts w:ascii="Times New Roman" w:hAnsi="Times New Roman" w:cs="Times New Roman"/>
          <w:bCs/>
        </w:rPr>
        <w:t>p</w:t>
      </w:r>
      <w:r w:rsidR="00DF38D5">
        <w:rPr>
          <w:rFonts w:ascii="Times New Roman" w:hAnsi="Times New Roman" w:cs="Times New Roman"/>
          <w:bCs/>
        </w:rPr>
        <w:t>ë</w:t>
      </w:r>
      <w:r w:rsidRPr="00DF38D5">
        <w:rPr>
          <w:rFonts w:ascii="Times New Roman" w:hAnsi="Times New Roman" w:cs="Times New Roman"/>
          <w:bCs/>
        </w:rPr>
        <w:t>rgjigj</w:t>
      </w:r>
      <w:r w:rsidR="00830BF9">
        <w:rPr>
          <w:rFonts w:ascii="Times New Roman" w:hAnsi="Times New Roman" w:cs="Times New Roman"/>
          <w:bCs/>
        </w:rPr>
        <w:t>es</w:t>
      </w:r>
      <w:proofErr w:type="spellEnd"/>
      <w:r w:rsidR="008560B1"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 w:rsidR="00E36927">
        <w:rPr>
          <w:rFonts w:ascii="Times New Roman" w:hAnsi="Times New Roman" w:cs="Times New Roman"/>
          <w:bCs/>
        </w:rPr>
        <w:t xml:space="preserve">u </w:t>
      </w:r>
      <w:proofErr w:type="spellStart"/>
      <w:r w:rsidR="00E36927" w:rsidRPr="00DF38D5">
        <w:rPr>
          <w:rFonts w:ascii="Times New Roman" w:hAnsi="Times New Roman" w:cs="Times New Roman"/>
          <w:bCs/>
        </w:rPr>
        <w:t>anonimizuar</w:t>
      </w:r>
      <w:proofErr w:type="spellEnd"/>
      <w:r w:rsidR="00E36927"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sipas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parashikimeve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ligjore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në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Përgjigja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jepet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="00246DF7"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 w:rsidR="00246DF7">
        <w:rPr>
          <w:rFonts w:ascii="Times New Roman" w:hAnsi="Times New Roman" w:cs="Times New Roman"/>
        </w:rPr>
        <w:t xml:space="preserve"> </w:t>
      </w:r>
      <w:r w:rsidR="00246DF7" w:rsidRPr="00DF38D5">
        <w:rPr>
          <w:rFonts w:ascii="Times New Roman" w:hAnsi="Times New Roman" w:cs="Times New Roman"/>
        </w:rPr>
        <w:t xml:space="preserve">E </w:t>
      </w:r>
      <w:proofErr w:type="spellStart"/>
      <w:r w:rsidR="00246DF7" w:rsidRPr="00DF38D5">
        <w:rPr>
          <w:rFonts w:ascii="Times New Roman" w:hAnsi="Times New Roman" w:cs="Times New Roman"/>
        </w:rPr>
        <w:t>refuzuar</w:t>
      </w:r>
      <w:proofErr w:type="spellEnd"/>
      <w:r w:rsidR="00246DF7" w:rsidRPr="00DF38D5">
        <w:rPr>
          <w:rFonts w:ascii="Times New Roman" w:hAnsi="Times New Roman" w:cs="Times New Roman"/>
        </w:rPr>
        <w:t>/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DF38D5" w:rsidRDefault="00DF38D5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</w:t>
      </w:r>
      <w:r w:rsidR="00AA5385" w:rsidRPr="00DF38D5">
        <w:rPr>
          <w:rFonts w:ascii="Times New Roman" w:hAnsi="Times New Roman" w:cs="Times New Roman"/>
          <w:lang w:val="it-IT"/>
        </w:rPr>
        <w:t xml:space="preserve">dhe </w:t>
      </w:r>
      <w:r w:rsidR="008560B1"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</w:t>
      </w:r>
      <w:r w:rsidR="00AA5385">
        <w:rPr>
          <w:rFonts w:ascii="Times New Roman" w:hAnsi="Times New Roman" w:cs="Times New Roman"/>
          <w:lang w:val="it-IT"/>
        </w:rPr>
        <w:t>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4003F"/>
    <w:multiLevelType w:val="multilevel"/>
    <w:tmpl w:val="54D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81E8A"/>
    <w:multiLevelType w:val="multilevel"/>
    <w:tmpl w:val="88D4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F7"/>
    <w:rsid w:val="00043CFC"/>
    <w:rsid w:val="000548CD"/>
    <w:rsid w:val="00073C84"/>
    <w:rsid w:val="000972CB"/>
    <w:rsid w:val="000E0539"/>
    <w:rsid w:val="000E4FF4"/>
    <w:rsid w:val="000F5EA4"/>
    <w:rsid w:val="00115F4C"/>
    <w:rsid w:val="00134F00"/>
    <w:rsid w:val="00160931"/>
    <w:rsid w:val="0016587F"/>
    <w:rsid w:val="0017110B"/>
    <w:rsid w:val="001912E7"/>
    <w:rsid w:val="001C17F3"/>
    <w:rsid w:val="001D3B66"/>
    <w:rsid w:val="001D7988"/>
    <w:rsid w:val="0021270B"/>
    <w:rsid w:val="00225CAF"/>
    <w:rsid w:val="00227DB2"/>
    <w:rsid w:val="00246DF7"/>
    <w:rsid w:val="00256DCC"/>
    <w:rsid w:val="002819C3"/>
    <w:rsid w:val="002838F4"/>
    <w:rsid w:val="00292321"/>
    <w:rsid w:val="002E20DF"/>
    <w:rsid w:val="002E5657"/>
    <w:rsid w:val="00302D5F"/>
    <w:rsid w:val="0033312E"/>
    <w:rsid w:val="003E3605"/>
    <w:rsid w:val="003F1194"/>
    <w:rsid w:val="003F78F7"/>
    <w:rsid w:val="0042349A"/>
    <w:rsid w:val="0043268E"/>
    <w:rsid w:val="00435EA8"/>
    <w:rsid w:val="004572FE"/>
    <w:rsid w:val="00495FC7"/>
    <w:rsid w:val="004A2062"/>
    <w:rsid w:val="004A4E7C"/>
    <w:rsid w:val="004C6A1C"/>
    <w:rsid w:val="004F0B5B"/>
    <w:rsid w:val="004F52CA"/>
    <w:rsid w:val="00514F48"/>
    <w:rsid w:val="005767B3"/>
    <w:rsid w:val="00581BEA"/>
    <w:rsid w:val="005B44B6"/>
    <w:rsid w:val="005E3F62"/>
    <w:rsid w:val="005E4EA0"/>
    <w:rsid w:val="005F0C81"/>
    <w:rsid w:val="0060211E"/>
    <w:rsid w:val="00644275"/>
    <w:rsid w:val="006739FB"/>
    <w:rsid w:val="006B7956"/>
    <w:rsid w:val="00714F62"/>
    <w:rsid w:val="007328B6"/>
    <w:rsid w:val="007903D1"/>
    <w:rsid w:val="007E493B"/>
    <w:rsid w:val="00800F19"/>
    <w:rsid w:val="00816BCE"/>
    <w:rsid w:val="00822F90"/>
    <w:rsid w:val="00830BF9"/>
    <w:rsid w:val="00844661"/>
    <w:rsid w:val="008560B1"/>
    <w:rsid w:val="008B06E0"/>
    <w:rsid w:val="008B42D1"/>
    <w:rsid w:val="008C79E8"/>
    <w:rsid w:val="008E2CFE"/>
    <w:rsid w:val="008F1B60"/>
    <w:rsid w:val="00915E96"/>
    <w:rsid w:val="00953906"/>
    <w:rsid w:val="0099345C"/>
    <w:rsid w:val="009A132D"/>
    <w:rsid w:val="009A6313"/>
    <w:rsid w:val="009C2A28"/>
    <w:rsid w:val="009C555D"/>
    <w:rsid w:val="009C6073"/>
    <w:rsid w:val="00A0133F"/>
    <w:rsid w:val="00A36EBE"/>
    <w:rsid w:val="00A6113D"/>
    <w:rsid w:val="00A964E0"/>
    <w:rsid w:val="00AA5385"/>
    <w:rsid w:val="00AB48BD"/>
    <w:rsid w:val="00B154B0"/>
    <w:rsid w:val="00B30C05"/>
    <w:rsid w:val="00B45E29"/>
    <w:rsid w:val="00B8307B"/>
    <w:rsid w:val="00BD3BE1"/>
    <w:rsid w:val="00BE1E92"/>
    <w:rsid w:val="00BF6803"/>
    <w:rsid w:val="00C060DD"/>
    <w:rsid w:val="00C35726"/>
    <w:rsid w:val="00C417B2"/>
    <w:rsid w:val="00C461C6"/>
    <w:rsid w:val="00C7393C"/>
    <w:rsid w:val="00C75058"/>
    <w:rsid w:val="00CB6255"/>
    <w:rsid w:val="00CE4D31"/>
    <w:rsid w:val="00CF1D79"/>
    <w:rsid w:val="00D02A94"/>
    <w:rsid w:val="00D057EE"/>
    <w:rsid w:val="00D41F11"/>
    <w:rsid w:val="00D679A8"/>
    <w:rsid w:val="00D87240"/>
    <w:rsid w:val="00DE26E2"/>
    <w:rsid w:val="00DE7653"/>
    <w:rsid w:val="00DF38D5"/>
    <w:rsid w:val="00E047E9"/>
    <w:rsid w:val="00E36927"/>
    <w:rsid w:val="00E40B75"/>
    <w:rsid w:val="00EA5DB9"/>
    <w:rsid w:val="00EF7F4B"/>
    <w:rsid w:val="00F171AC"/>
    <w:rsid w:val="00F20D0A"/>
    <w:rsid w:val="00F276FA"/>
    <w:rsid w:val="00F77D04"/>
    <w:rsid w:val="00F87471"/>
    <w:rsid w:val="00FA410B"/>
    <w:rsid w:val="00F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8D945-23A7-4085-924A-7A483271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12E"/>
  </w:style>
  <w:style w:type="paragraph" w:styleId="Footer">
    <w:name w:val="footer"/>
    <w:basedOn w:val="Normal"/>
    <w:link w:val="FooterChar"/>
    <w:uiPriority w:val="99"/>
    <w:unhideWhenUsed/>
    <w:rsid w:val="00333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E176-AEF0-48B4-9A05-697E55DC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36</cp:revision>
  <dcterms:created xsi:type="dcterms:W3CDTF">2021-02-18T13:06:00Z</dcterms:created>
  <dcterms:modified xsi:type="dcterms:W3CDTF">2023-07-07T07:44:00Z</dcterms:modified>
</cp:coreProperties>
</file>